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2168A" w14:textId="135C3BF4" w:rsidR="00031D6B" w:rsidRPr="00A651DE" w:rsidRDefault="00031D6B">
      <w:pPr>
        <w:pStyle w:val="Heading1"/>
        <w:rPr>
          <w:rFonts w:ascii="Aptos" w:hAnsi="Aptos"/>
        </w:rPr>
      </w:pPr>
    </w:p>
    <w:p w14:paraId="1AEE9F9F" w14:textId="5474ACE5" w:rsidR="00031D6B" w:rsidRPr="00A651DE" w:rsidRDefault="00031D6B">
      <w:pPr>
        <w:pStyle w:val="Heading1"/>
        <w:rPr>
          <w:rFonts w:ascii="Aptos" w:hAnsi="Aptos"/>
        </w:rPr>
      </w:pPr>
      <w:r w:rsidRPr="00A651D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85FBB97" wp14:editId="45F470E9">
                <wp:simplePos x="0" y="0"/>
                <wp:positionH relativeFrom="column">
                  <wp:posOffset>591608</wp:posOffset>
                </wp:positionH>
                <wp:positionV relativeFrom="paragraph">
                  <wp:posOffset>309245</wp:posOffset>
                </wp:positionV>
                <wp:extent cx="4334933" cy="541866"/>
                <wp:effectExtent l="0" t="0" r="0" b="4445"/>
                <wp:wrapNone/>
                <wp:docPr id="19787282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4933" cy="5418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92E86E" w14:textId="084113C4" w:rsidR="00031D6B" w:rsidRPr="00031D6B" w:rsidRDefault="00031D6B" w:rsidP="00031D6B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215868" w:themeColor="accent5" w:themeShade="80"/>
                                <w:sz w:val="40"/>
                                <w:szCs w:val="40"/>
                                <w:lang w:val="en-CA"/>
                              </w:rPr>
                            </w:pPr>
                            <w:r w:rsidRPr="00031D6B">
                              <w:rPr>
                                <w:rFonts w:ascii="Aptos" w:hAnsi="Aptos"/>
                                <w:b/>
                                <w:bCs/>
                                <w:color w:val="215868" w:themeColor="accent5" w:themeShade="80"/>
                                <w:sz w:val="40"/>
                                <w:szCs w:val="40"/>
                                <w:lang w:val="en-CA"/>
                              </w:rPr>
                              <w:t>Value Chain Impact Assessment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FBB9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.6pt;margin-top:24.35pt;width:341.35pt;height:42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" fillcolor="white [3201]" stroked="f" strokeweight=".5pt">
                <v:textbox>
                  <w:txbxContent>
                    <w:p w14:paraId="1E92E86E" w14:textId="084113C4" w:rsidR="00031D6B" w:rsidRPr="00031D6B" w:rsidRDefault="00031D6B" w:rsidP="00031D6B">
                      <w:pPr>
                        <w:jc w:val="center"/>
                        <w:rPr>
                          <w:rFonts w:ascii="Aptos" w:hAnsi="Aptos"/>
                          <w:b/>
                          <w:bCs/>
                          <w:color w:val="215868" w:themeColor="accent5" w:themeShade="80"/>
                          <w:sz w:val="40"/>
                          <w:szCs w:val="40"/>
                          <w:lang w:val="en-CA"/>
                        </w:rPr>
                      </w:pPr>
                      <w:r w:rsidRPr="00031D6B">
                        <w:rPr>
                          <w:rFonts w:ascii="Aptos" w:hAnsi="Aptos"/>
                          <w:b/>
                          <w:bCs/>
                          <w:color w:val="215868" w:themeColor="accent5" w:themeShade="80"/>
                          <w:sz w:val="40"/>
                          <w:szCs w:val="40"/>
                          <w:lang w:val="en-CA"/>
                        </w:rPr>
                        <w:t>Value Chain Impact Assessment</w:t>
                      </w:r>
                    </w:p>
                  </w:txbxContent>
                </v:textbox>
              </v:shape>
            </w:pict>
          </mc:Fallback>
        </mc:AlternateContent>
      </w:r>
    </w:p>
    <w:p w14:paraId="2208B990" w14:textId="76029061" w:rsidR="00031D6B" w:rsidRPr="00A651DE" w:rsidRDefault="00031D6B" w:rsidP="00031D6B">
      <w:pPr>
        <w:pStyle w:val="Heading1"/>
        <w:jc w:val="center"/>
        <w:rPr>
          <w:rFonts w:ascii="Aptos" w:hAnsi="Aptos"/>
        </w:rPr>
      </w:pPr>
      <w:r w:rsidRPr="00A651DE">
        <w:rPr>
          <w:rFonts w:ascii="Aptos" w:hAnsi="Aptos"/>
          <w:noProof/>
        </w:rPr>
        <w:drawing>
          <wp:inline distT="0" distB="0" distL="0" distR="0" wp14:anchorId="40BBB58C" wp14:editId="16FE2D14">
            <wp:extent cx="3894666" cy="5863978"/>
            <wp:effectExtent l="0" t="0" r="4445" b="3810"/>
            <wp:docPr id="4" name="Picture 3" descr="A blue cover with a globe an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B71BB5B-3623-AE6D-87DF-DADC1115FE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blue cover with a globe and text&#10;&#10;AI-generated content may be incorrect.">
                      <a:extLst>
                        <a:ext uri="{FF2B5EF4-FFF2-40B4-BE49-F238E27FC236}">
                          <a16:creationId xmlns:a16="http://schemas.microsoft.com/office/drawing/2014/main" id="{CB71BB5B-3623-AE6D-87DF-DADC1115FE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168" cy="5921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A7028" w14:textId="77777777" w:rsidR="00031D6B" w:rsidRPr="00A651DE" w:rsidRDefault="00031D6B">
      <w:pPr>
        <w:rPr>
          <w:rFonts w:ascii="Aptos" w:eastAsiaTheme="majorEastAsia" w:hAnsi="Aptos" w:cstheme="majorBidi"/>
          <w:b/>
          <w:bCs/>
          <w:color w:val="365F91" w:themeColor="accent1" w:themeShade="BF"/>
          <w:sz w:val="28"/>
          <w:szCs w:val="28"/>
        </w:rPr>
      </w:pPr>
      <w:r w:rsidRPr="00A651DE">
        <w:rPr>
          <w:rFonts w:ascii="Aptos" w:hAnsi="Aptos"/>
        </w:rPr>
        <w:br w:type="page"/>
      </w:r>
    </w:p>
    <w:p w14:paraId="2F316F21" w14:textId="132A9B4D" w:rsidR="00FD0449" w:rsidRPr="00A651DE" w:rsidRDefault="00031D6B">
      <w:pPr>
        <w:pStyle w:val="Heading1"/>
        <w:rPr>
          <w:rFonts w:ascii="Aptos" w:hAnsi="Aptos"/>
        </w:rPr>
      </w:pPr>
      <w:r w:rsidRPr="00A651DE">
        <w:rPr>
          <w:rFonts w:ascii="Aptos" w:hAnsi="Aptos"/>
        </w:rPr>
        <w:lastRenderedPageBreak/>
        <w:t xml:space="preserve">Value Chain Impact Assessment </w:t>
      </w:r>
    </w:p>
    <w:p w14:paraId="16810EDF" w14:textId="2DABBBF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This assessment helps you evaluate how your organization—or team—</w:t>
      </w:r>
      <w:r w:rsidR="008646E3" w:rsidRPr="00A651DE">
        <w:rPr>
          <w:rFonts w:ascii="Aptos" w:hAnsi="Aptos"/>
        </w:rPr>
        <w:t>or you—</w:t>
      </w:r>
      <w:r w:rsidRPr="00A651DE">
        <w:rPr>
          <w:rFonts w:ascii="Aptos" w:hAnsi="Aptos"/>
        </w:rPr>
        <w:t>performs across the seven pillars explored in Global Wealth, Local Impact: How Value Chains Build Thriving Companies, Cultures, and Countries. Every business operates somewhere along a value-chain maturity curve. Wherever you are, this tool helps you pinpoint your position and identify practical next steps to strengthen performance, resilience, and alignment.</w:t>
      </w:r>
    </w:p>
    <w:p w14:paraId="7024383B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Each section represents one of the seven key pillars of organizational value creation:</w:t>
      </w:r>
      <w:r w:rsidRPr="00A651DE">
        <w:rPr>
          <w:rFonts w:ascii="Aptos" w:hAnsi="Aptos"/>
        </w:rPr>
        <w:br/>
        <w:t>1. Tactical Execution</w:t>
      </w:r>
      <w:r w:rsidRPr="00A651DE">
        <w:rPr>
          <w:rFonts w:ascii="Aptos" w:hAnsi="Aptos"/>
        </w:rPr>
        <w:br/>
        <w:t>2. Strategic Alignment</w:t>
      </w:r>
      <w:r w:rsidRPr="00A651DE">
        <w:rPr>
          <w:rFonts w:ascii="Aptos" w:hAnsi="Aptos"/>
        </w:rPr>
        <w:br/>
        <w:t>3. Negotiation</w:t>
      </w:r>
      <w:r w:rsidRPr="00A651DE">
        <w:rPr>
          <w:rFonts w:ascii="Aptos" w:hAnsi="Aptos"/>
        </w:rPr>
        <w:br/>
        <w:t>4. Partnerships &amp; Alliances</w:t>
      </w:r>
      <w:r w:rsidRPr="00A651DE">
        <w:rPr>
          <w:rFonts w:ascii="Aptos" w:hAnsi="Aptos"/>
        </w:rPr>
        <w:br/>
        <w:t>5. Metrics &amp; Measurement</w:t>
      </w:r>
      <w:r w:rsidRPr="00A651DE">
        <w:rPr>
          <w:rFonts w:ascii="Aptos" w:hAnsi="Aptos"/>
        </w:rPr>
        <w:br/>
        <w:t>6. Inflation &amp; Economics</w:t>
      </w:r>
      <w:r w:rsidRPr="00A651DE">
        <w:rPr>
          <w:rFonts w:ascii="Aptos" w:hAnsi="Aptos"/>
        </w:rPr>
        <w:br/>
        <w:t>7. Global Impacts</w:t>
      </w:r>
    </w:p>
    <w:p w14:paraId="388E2A9E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How to Use This Workbook:</w:t>
      </w:r>
      <w:r w:rsidRPr="00A651DE">
        <w:rPr>
          <w:rFonts w:ascii="Aptos" w:hAnsi="Aptos"/>
        </w:rPr>
        <w:br/>
        <w:t>1. Read each statement carefully.</w:t>
      </w:r>
      <w:r w:rsidRPr="00A651DE">
        <w:rPr>
          <w:rFonts w:ascii="Aptos" w:hAnsi="Aptos"/>
        </w:rPr>
        <w:br/>
        <w:t>2. Rate your organization on a scale from 1 to 5.</w:t>
      </w:r>
      <w:r w:rsidRPr="00A651DE">
        <w:rPr>
          <w:rFonts w:ascii="Aptos" w:hAnsi="Aptos"/>
        </w:rPr>
        <w:br/>
        <w:t>3. Add up your total for the section.</w:t>
      </w:r>
      <w:r w:rsidRPr="00A651DE">
        <w:rPr>
          <w:rFonts w:ascii="Aptos" w:hAnsi="Aptos"/>
        </w:rPr>
        <w:br/>
        <w:t>4. Review your score interpretation and use the action steps to guide improvement.</w:t>
      </w:r>
    </w:p>
    <w:p w14:paraId="4105BA8D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Scoring Scale (for each statement):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FD0449" w:rsidRPr="00A651DE" w14:paraId="26430365" w14:textId="77777777">
        <w:tc>
          <w:tcPr>
            <w:tcW w:w="4320" w:type="dxa"/>
          </w:tcPr>
          <w:p w14:paraId="5E88C906" w14:textId="77777777" w:rsidR="00FD0449" w:rsidRPr="00A651DE" w:rsidRDefault="00000000" w:rsidP="00A651DE">
            <w:pPr>
              <w:jc w:val="center"/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</w:t>
            </w:r>
          </w:p>
        </w:tc>
        <w:tc>
          <w:tcPr>
            <w:tcW w:w="4320" w:type="dxa"/>
          </w:tcPr>
          <w:p w14:paraId="4094C47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Rarely true</w:t>
            </w:r>
          </w:p>
        </w:tc>
      </w:tr>
      <w:tr w:rsidR="00FD0449" w:rsidRPr="00A651DE" w14:paraId="21C84746" w14:textId="77777777">
        <w:tc>
          <w:tcPr>
            <w:tcW w:w="4320" w:type="dxa"/>
          </w:tcPr>
          <w:p w14:paraId="73E60990" w14:textId="77777777" w:rsidR="00FD0449" w:rsidRPr="00A651DE" w:rsidRDefault="00000000" w:rsidP="00A651DE">
            <w:pPr>
              <w:jc w:val="center"/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</w:t>
            </w:r>
          </w:p>
        </w:tc>
        <w:tc>
          <w:tcPr>
            <w:tcW w:w="4320" w:type="dxa"/>
          </w:tcPr>
          <w:p w14:paraId="5B09CB47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Occasionally true</w:t>
            </w:r>
          </w:p>
        </w:tc>
      </w:tr>
      <w:tr w:rsidR="00FD0449" w:rsidRPr="00A651DE" w14:paraId="544F778E" w14:textId="77777777">
        <w:tc>
          <w:tcPr>
            <w:tcW w:w="4320" w:type="dxa"/>
          </w:tcPr>
          <w:p w14:paraId="1B631229" w14:textId="77777777" w:rsidR="00FD0449" w:rsidRPr="00A651DE" w:rsidRDefault="00000000" w:rsidP="00A651DE">
            <w:pPr>
              <w:jc w:val="center"/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3</w:t>
            </w:r>
          </w:p>
        </w:tc>
        <w:tc>
          <w:tcPr>
            <w:tcW w:w="4320" w:type="dxa"/>
          </w:tcPr>
          <w:p w14:paraId="42BC7E8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Sometimes true</w:t>
            </w:r>
          </w:p>
        </w:tc>
      </w:tr>
      <w:tr w:rsidR="00FD0449" w:rsidRPr="00A651DE" w14:paraId="07512A01" w14:textId="77777777">
        <w:tc>
          <w:tcPr>
            <w:tcW w:w="4320" w:type="dxa"/>
          </w:tcPr>
          <w:p w14:paraId="07AA735B" w14:textId="77777777" w:rsidR="00FD0449" w:rsidRPr="00A651DE" w:rsidRDefault="00000000" w:rsidP="00A651DE">
            <w:pPr>
              <w:jc w:val="center"/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4</w:t>
            </w:r>
          </w:p>
        </w:tc>
        <w:tc>
          <w:tcPr>
            <w:tcW w:w="4320" w:type="dxa"/>
          </w:tcPr>
          <w:p w14:paraId="31182BB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Often true</w:t>
            </w:r>
          </w:p>
        </w:tc>
      </w:tr>
      <w:tr w:rsidR="00FD0449" w:rsidRPr="00A651DE" w14:paraId="1B458B4A" w14:textId="77777777">
        <w:tc>
          <w:tcPr>
            <w:tcW w:w="4320" w:type="dxa"/>
          </w:tcPr>
          <w:p w14:paraId="4FC50FC6" w14:textId="77777777" w:rsidR="00FD0449" w:rsidRPr="00A651DE" w:rsidRDefault="00000000" w:rsidP="00A651DE">
            <w:pPr>
              <w:jc w:val="center"/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</w:t>
            </w:r>
          </w:p>
        </w:tc>
        <w:tc>
          <w:tcPr>
            <w:tcW w:w="4320" w:type="dxa"/>
          </w:tcPr>
          <w:p w14:paraId="55FB0D9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Consistently true</w:t>
            </w:r>
          </w:p>
        </w:tc>
      </w:tr>
    </w:tbl>
    <w:p w14:paraId="55FD4E27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br w:type="page"/>
      </w:r>
    </w:p>
    <w:p w14:paraId="71AC17D0" w14:textId="77777777" w:rsidR="00FD0449" w:rsidRPr="00A651DE" w:rsidRDefault="00000000">
      <w:pPr>
        <w:pStyle w:val="Heading2"/>
        <w:rPr>
          <w:rFonts w:ascii="Aptos" w:hAnsi="Aptos"/>
        </w:rPr>
      </w:pPr>
      <w:r w:rsidRPr="00A651DE">
        <w:rPr>
          <w:rFonts w:ascii="Aptos" w:hAnsi="Aptos"/>
        </w:rPr>
        <w:lastRenderedPageBreak/>
        <w:t>Section 1: Tactical Mastery</w:t>
      </w:r>
    </w:p>
    <w:p w14:paraId="721A8B1C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Tactics are where ideas meet execution. Strong tactical performance turns strategic intent into measurable results. When discipline and clarity guide daily actions, organizations build momentum and resilience—even in volatile markets.</w:t>
      </w:r>
    </w:p>
    <w:p w14:paraId="7F579772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Rate each statement from 1 (Rarely true) to 5 (Consistently true). Record your score in the right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4"/>
        <w:gridCol w:w="4107"/>
        <w:gridCol w:w="2999"/>
      </w:tblGrid>
      <w:tr w:rsidR="00FD0449" w:rsidRPr="00A651DE" w14:paraId="3779627F" w14:textId="77777777" w:rsidTr="006502ED">
        <w:tc>
          <w:tcPr>
            <w:tcW w:w="1526" w:type="dxa"/>
          </w:tcPr>
          <w:p w14:paraId="5E59EE5E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#</w:t>
            </w:r>
          </w:p>
        </w:tc>
        <w:tc>
          <w:tcPr>
            <w:tcW w:w="4111" w:type="dxa"/>
          </w:tcPr>
          <w:p w14:paraId="3B1A7307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Statement</w:t>
            </w:r>
          </w:p>
        </w:tc>
        <w:tc>
          <w:tcPr>
            <w:tcW w:w="3003" w:type="dxa"/>
          </w:tcPr>
          <w:p w14:paraId="00BB9615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Your Score (1–5)</w:t>
            </w:r>
          </w:p>
        </w:tc>
      </w:tr>
      <w:tr w:rsidR="00FD0449" w:rsidRPr="00A651DE" w14:paraId="7F886BC5" w14:textId="77777777" w:rsidTr="006502ED">
        <w:tc>
          <w:tcPr>
            <w:tcW w:w="1526" w:type="dxa"/>
          </w:tcPr>
          <w:p w14:paraId="0794418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</w:t>
            </w:r>
          </w:p>
        </w:tc>
        <w:tc>
          <w:tcPr>
            <w:tcW w:w="4111" w:type="dxa"/>
          </w:tcPr>
          <w:p w14:paraId="5DA3102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Daily priorities are clear, communicated, and linked to overall objectives.</w:t>
            </w:r>
          </w:p>
        </w:tc>
        <w:tc>
          <w:tcPr>
            <w:tcW w:w="3003" w:type="dxa"/>
          </w:tcPr>
          <w:p w14:paraId="53AF1A15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342D1D8E" w14:textId="77777777" w:rsidTr="006502ED">
        <w:tc>
          <w:tcPr>
            <w:tcW w:w="1526" w:type="dxa"/>
          </w:tcPr>
          <w:p w14:paraId="2F9B641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</w:t>
            </w:r>
          </w:p>
        </w:tc>
        <w:tc>
          <w:tcPr>
            <w:tcW w:w="4111" w:type="dxa"/>
          </w:tcPr>
          <w:p w14:paraId="775BCC8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Standard operating procedures are documented, visible, and followed.</w:t>
            </w:r>
          </w:p>
        </w:tc>
        <w:tc>
          <w:tcPr>
            <w:tcW w:w="3003" w:type="dxa"/>
          </w:tcPr>
          <w:p w14:paraId="17C32347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0526574F" w14:textId="77777777" w:rsidTr="006502ED">
        <w:tc>
          <w:tcPr>
            <w:tcW w:w="1526" w:type="dxa"/>
          </w:tcPr>
          <w:p w14:paraId="41D3A45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3</w:t>
            </w:r>
          </w:p>
        </w:tc>
        <w:tc>
          <w:tcPr>
            <w:tcW w:w="4111" w:type="dxa"/>
          </w:tcPr>
          <w:p w14:paraId="6F5513BE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Teams adapt quickly to disruptions without losing focus or accountability.</w:t>
            </w:r>
          </w:p>
        </w:tc>
        <w:tc>
          <w:tcPr>
            <w:tcW w:w="3003" w:type="dxa"/>
          </w:tcPr>
          <w:p w14:paraId="2DE35450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7D6F1493" w14:textId="77777777" w:rsidTr="006502ED">
        <w:tc>
          <w:tcPr>
            <w:tcW w:w="1526" w:type="dxa"/>
          </w:tcPr>
          <w:p w14:paraId="2AF027C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4</w:t>
            </w:r>
          </w:p>
        </w:tc>
        <w:tc>
          <w:tcPr>
            <w:tcW w:w="4111" w:type="dxa"/>
          </w:tcPr>
          <w:p w14:paraId="5A339C7E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Roles, responsibilities, and decision-making authority are clearly defined.</w:t>
            </w:r>
          </w:p>
        </w:tc>
        <w:tc>
          <w:tcPr>
            <w:tcW w:w="3003" w:type="dxa"/>
          </w:tcPr>
          <w:p w14:paraId="09077062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664D952F" w14:textId="77777777" w:rsidTr="006502ED">
        <w:tc>
          <w:tcPr>
            <w:tcW w:w="1526" w:type="dxa"/>
          </w:tcPr>
          <w:p w14:paraId="2975355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</w:t>
            </w:r>
          </w:p>
        </w:tc>
        <w:tc>
          <w:tcPr>
            <w:tcW w:w="4111" w:type="dxa"/>
          </w:tcPr>
          <w:p w14:paraId="108C918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Lessons learned from projects are captured, shared, and applied.</w:t>
            </w:r>
          </w:p>
        </w:tc>
        <w:tc>
          <w:tcPr>
            <w:tcW w:w="3003" w:type="dxa"/>
          </w:tcPr>
          <w:p w14:paraId="7BB83EC9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</w:tbl>
    <w:p w14:paraId="49612921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Your Total (sum of your five scores): ______ / 25</w:t>
      </w:r>
    </w:p>
    <w:p w14:paraId="2F73B6E6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Interpret Your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3398"/>
        <w:gridCol w:w="3707"/>
      </w:tblGrid>
      <w:tr w:rsidR="00FD0449" w:rsidRPr="00A651DE" w14:paraId="67511CBD" w14:textId="77777777" w:rsidTr="006502ED">
        <w:tc>
          <w:tcPr>
            <w:tcW w:w="1526" w:type="dxa"/>
          </w:tcPr>
          <w:p w14:paraId="053C5C37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Total Score</w:t>
            </w:r>
          </w:p>
        </w:tc>
        <w:tc>
          <w:tcPr>
            <w:tcW w:w="3402" w:type="dxa"/>
          </w:tcPr>
          <w:p w14:paraId="77AA687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Level</w:t>
            </w:r>
          </w:p>
        </w:tc>
        <w:tc>
          <w:tcPr>
            <w:tcW w:w="3712" w:type="dxa"/>
          </w:tcPr>
          <w:p w14:paraId="5F76B02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What It Means</w:t>
            </w:r>
          </w:p>
        </w:tc>
      </w:tr>
      <w:tr w:rsidR="00FD0449" w:rsidRPr="00A651DE" w14:paraId="2C9560AA" w14:textId="77777777" w:rsidTr="006502ED">
        <w:tc>
          <w:tcPr>
            <w:tcW w:w="1526" w:type="dxa"/>
          </w:tcPr>
          <w:p w14:paraId="1E07A6A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5–10</w:t>
            </w:r>
          </w:p>
        </w:tc>
        <w:tc>
          <w:tcPr>
            <w:tcW w:w="3402" w:type="dxa"/>
          </w:tcPr>
          <w:p w14:paraId="2691A5F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Ad Hoc Execution</w:t>
            </w:r>
          </w:p>
        </w:tc>
        <w:tc>
          <w:tcPr>
            <w:tcW w:w="3712" w:type="dxa"/>
          </w:tcPr>
          <w:p w14:paraId="3C97F4C1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Success depends on individuals, not systems. Begin by standardizing critical processes.</w:t>
            </w:r>
          </w:p>
        </w:tc>
      </w:tr>
      <w:tr w:rsidR="00FD0449" w:rsidRPr="00A651DE" w14:paraId="068B8905" w14:textId="77777777" w:rsidTr="006502ED">
        <w:tc>
          <w:tcPr>
            <w:tcW w:w="1526" w:type="dxa"/>
          </w:tcPr>
          <w:p w14:paraId="79AA175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11–15</w:t>
            </w:r>
          </w:p>
        </w:tc>
        <w:tc>
          <w:tcPr>
            <w:tcW w:w="3402" w:type="dxa"/>
          </w:tcPr>
          <w:p w14:paraId="0D4E9703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Structured but Inconsistent</w:t>
            </w:r>
          </w:p>
        </w:tc>
        <w:tc>
          <w:tcPr>
            <w:tcW w:w="3712" w:type="dxa"/>
          </w:tcPr>
          <w:p w14:paraId="1B04144D" w14:textId="68E1C479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 xml:space="preserve">Some rhythm exists, but results vary. Focus on </w:t>
            </w:r>
            <w:r w:rsidR="00CA3174">
              <w:rPr>
                <w:rFonts w:ascii="Aptos" w:hAnsi="Aptos"/>
              </w:rPr>
              <w:t xml:space="preserve">developing or updating processes </w:t>
            </w:r>
            <w:r w:rsidRPr="00A651DE">
              <w:rPr>
                <w:rFonts w:ascii="Aptos" w:hAnsi="Aptos"/>
              </w:rPr>
              <w:t>and workflows.</w:t>
            </w:r>
          </w:p>
        </w:tc>
      </w:tr>
      <w:tr w:rsidR="00FD0449" w:rsidRPr="00A651DE" w14:paraId="66A33ADA" w14:textId="77777777" w:rsidTr="006502ED">
        <w:tc>
          <w:tcPr>
            <w:tcW w:w="1526" w:type="dxa"/>
          </w:tcPr>
          <w:p w14:paraId="32143D63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16–20</w:t>
            </w:r>
          </w:p>
        </w:tc>
        <w:tc>
          <w:tcPr>
            <w:tcW w:w="3402" w:type="dxa"/>
          </w:tcPr>
          <w:p w14:paraId="4D83DE20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Operationally Sound</w:t>
            </w:r>
          </w:p>
        </w:tc>
        <w:tc>
          <w:tcPr>
            <w:tcW w:w="3712" w:type="dxa"/>
          </w:tcPr>
          <w:p w14:paraId="56ED3F53" w14:textId="70DDC513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A disciplined foundation is in place; continue refining speed</w:t>
            </w:r>
            <w:r w:rsidR="00031D6B" w:rsidRPr="00A651DE">
              <w:rPr>
                <w:rFonts w:ascii="Aptos" w:hAnsi="Aptos"/>
              </w:rPr>
              <w:t>, cross functional collaboration</w:t>
            </w:r>
            <w:r w:rsidRPr="00A651DE">
              <w:rPr>
                <w:rFonts w:ascii="Aptos" w:hAnsi="Aptos"/>
              </w:rPr>
              <w:t xml:space="preserve"> and coordination.</w:t>
            </w:r>
          </w:p>
        </w:tc>
      </w:tr>
      <w:tr w:rsidR="00FD0449" w:rsidRPr="00A651DE" w14:paraId="4BA1DF54" w14:textId="77777777" w:rsidTr="006502ED">
        <w:tc>
          <w:tcPr>
            <w:tcW w:w="1526" w:type="dxa"/>
          </w:tcPr>
          <w:p w14:paraId="1F15A60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21–25</w:t>
            </w:r>
          </w:p>
        </w:tc>
        <w:tc>
          <w:tcPr>
            <w:tcW w:w="3402" w:type="dxa"/>
          </w:tcPr>
          <w:p w14:paraId="1C8EEC1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Execution Excellence</w:t>
            </w:r>
          </w:p>
        </w:tc>
        <w:tc>
          <w:tcPr>
            <w:tcW w:w="3712" w:type="dxa"/>
          </w:tcPr>
          <w:p w14:paraId="32038213" w14:textId="621D08AE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Execution is your advantage. Maintain rigor and evolve continuously.</w:t>
            </w:r>
          </w:p>
        </w:tc>
      </w:tr>
    </w:tbl>
    <w:p w14:paraId="1C017DD9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Action Steps / From the Book</w:t>
      </w:r>
    </w:p>
    <w:p w14:paraId="0045A9A1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Revisit Chapter 1: Tactical Mastery for execution frameworks.</w:t>
      </w:r>
    </w:p>
    <w:p w14:paraId="0B893705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Define what 'done right' looks like for recurring processes.</w:t>
      </w:r>
    </w:p>
    <w:p w14:paraId="2A1070C5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Establish short feedback loops after every major deliverable.</w:t>
      </w:r>
    </w:p>
    <w:p w14:paraId="7858B658" w14:textId="77777777" w:rsidR="00FD0449" w:rsidRPr="00A651DE" w:rsidRDefault="00000000">
      <w:pPr>
        <w:pStyle w:val="Heading2"/>
        <w:rPr>
          <w:rFonts w:ascii="Aptos" w:hAnsi="Aptos"/>
        </w:rPr>
      </w:pPr>
      <w:r w:rsidRPr="00A651DE">
        <w:rPr>
          <w:rFonts w:ascii="Aptos" w:hAnsi="Aptos"/>
        </w:rPr>
        <w:lastRenderedPageBreak/>
        <w:t>Section 2: Strategic Alignment</w:t>
      </w:r>
    </w:p>
    <w:p w14:paraId="7E584B8C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Strategy is a living system of choices that connects vision to action. Alignment ensures those choices cascade clearly from the boardroom to the front line, building agility and coherence.</w:t>
      </w:r>
    </w:p>
    <w:p w14:paraId="1C57242F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Rate each statement from 1 (Rarely true) to 5 (Consistently true). Record your score in the right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371"/>
        <w:gridCol w:w="2876"/>
      </w:tblGrid>
      <w:tr w:rsidR="00FD0449" w:rsidRPr="00A651DE" w14:paraId="19BDCE38" w14:textId="77777777" w:rsidTr="006502ED">
        <w:tc>
          <w:tcPr>
            <w:tcW w:w="1384" w:type="dxa"/>
          </w:tcPr>
          <w:p w14:paraId="5613EF5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#</w:t>
            </w:r>
          </w:p>
        </w:tc>
        <w:tc>
          <w:tcPr>
            <w:tcW w:w="4376" w:type="dxa"/>
          </w:tcPr>
          <w:p w14:paraId="55D10B3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Statement</w:t>
            </w:r>
          </w:p>
        </w:tc>
        <w:tc>
          <w:tcPr>
            <w:tcW w:w="2880" w:type="dxa"/>
          </w:tcPr>
          <w:p w14:paraId="4FA8CC9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Your Score (1–5)</w:t>
            </w:r>
          </w:p>
        </w:tc>
      </w:tr>
      <w:tr w:rsidR="00FD0449" w:rsidRPr="00A651DE" w14:paraId="0DB2A6BA" w14:textId="77777777" w:rsidTr="006502ED">
        <w:tc>
          <w:tcPr>
            <w:tcW w:w="1384" w:type="dxa"/>
          </w:tcPr>
          <w:p w14:paraId="72657AA7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</w:t>
            </w:r>
          </w:p>
        </w:tc>
        <w:tc>
          <w:tcPr>
            <w:tcW w:w="4376" w:type="dxa"/>
          </w:tcPr>
          <w:p w14:paraId="3A1F49F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The organization has a clear, communicated strategic direction understood at all levels.</w:t>
            </w:r>
          </w:p>
        </w:tc>
        <w:tc>
          <w:tcPr>
            <w:tcW w:w="2880" w:type="dxa"/>
          </w:tcPr>
          <w:p w14:paraId="5D652E6B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03D1875D" w14:textId="77777777" w:rsidTr="006502ED">
        <w:tc>
          <w:tcPr>
            <w:tcW w:w="1384" w:type="dxa"/>
          </w:tcPr>
          <w:p w14:paraId="19B2D79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</w:t>
            </w:r>
          </w:p>
        </w:tc>
        <w:tc>
          <w:tcPr>
            <w:tcW w:w="4376" w:type="dxa"/>
          </w:tcPr>
          <w:p w14:paraId="7D062B53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Departmental and team goals are directly linked to strategic objectives.</w:t>
            </w:r>
          </w:p>
        </w:tc>
        <w:tc>
          <w:tcPr>
            <w:tcW w:w="2880" w:type="dxa"/>
          </w:tcPr>
          <w:p w14:paraId="70B8FD12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334562A7" w14:textId="77777777" w:rsidTr="006502ED">
        <w:tc>
          <w:tcPr>
            <w:tcW w:w="1384" w:type="dxa"/>
          </w:tcPr>
          <w:p w14:paraId="1842BCF3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3</w:t>
            </w:r>
          </w:p>
        </w:tc>
        <w:tc>
          <w:tcPr>
            <w:tcW w:w="4376" w:type="dxa"/>
          </w:tcPr>
          <w:p w14:paraId="535778A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Leaders evaluate external trends and adapt strategies accordingly.</w:t>
            </w:r>
          </w:p>
        </w:tc>
        <w:tc>
          <w:tcPr>
            <w:tcW w:w="2880" w:type="dxa"/>
          </w:tcPr>
          <w:p w14:paraId="5DBCE90C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3FAF8AD5" w14:textId="77777777" w:rsidTr="006502ED">
        <w:tc>
          <w:tcPr>
            <w:tcW w:w="1384" w:type="dxa"/>
          </w:tcPr>
          <w:p w14:paraId="07E66CB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4</w:t>
            </w:r>
          </w:p>
        </w:tc>
        <w:tc>
          <w:tcPr>
            <w:tcW w:w="4376" w:type="dxa"/>
          </w:tcPr>
          <w:p w14:paraId="2DE5B6B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Decisions about resources and priorities align with long-term goals.</w:t>
            </w:r>
          </w:p>
        </w:tc>
        <w:tc>
          <w:tcPr>
            <w:tcW w:w="2880" w:type="dxa"/>
          </w:tcPr>
          <w:p w14:paraId="609E9B0F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3F620E38" w14:textId="77777777" w:rsidTr="006502ED">
        <w:tc>
          <w:tcPr>
            <w:tcW w:w="1384" w:type="dxa"/>
          </w:tcPr>
          <w:p w14:paraId="4C6DD4E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</w:t>
            </w:r>
          </w:p>
        </w:tc>
        <w:tc>
          <w:tcPr>
            <w:tcW w:w="4376" w:type="dxa"/>
          </w:tcPr>
          <w:p w14:paraId="2C8EC093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Strategy is reviewed and refined consistently, not just during annual planning.</w:t>
            </w:r>
          </w:p>
        </w:tc>
        <w:tc>
          <w:tcPr>
            <w:tcW w:w="2880" w:type="dxa"/>
          </w:tcPr>
          <w:p w14:paraId="7B7E8284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</w:tbl>
    <w:p w14:paraId="2FC85562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Your Total (sum of your five scores): ______ / 25</w:t>
      </w:r>
    </w:p>
    <w:p w14:paraId="33805EAE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Interpret Your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3681"/>
        <w:gridCol w:w="3566"/>
      </w:tblGrid>
      <w:tr w:rsidR="00FD0449" w:rsidRPr="00A651DE" w14:paraId="64FA9704" w14:textId="77777777" w:rsidTr="00896363">
        <w:tc>
          <w:tcPr>
            <w:tcW w:w="1384" w:type="dxa"/>
          </w:tcPr>
          <w:p w14:paraId="5EBCF70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Total Score</w:t>
            </w:r>
          </w:p>
        </w:tc>
        <w:tc>
          <w:tcPr>
            <w:tcW w:w="3686" w:type="dxa"/>
          </w:tcPr>
          <w:p w14:paraId="125D9BC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Level</w:t>
            </w:r>
          </w:p>
        </w:tc>
        <w:tc>
          <w:tcPr>
            <w:tcW w:w="3570" w:type="dxa"/>
          </w:tcPr>
          <w:p w14:paraId="2C2D67F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What It Means</w:t>
            </w:r>
          </w:p>
        </w:tc>
      </w:tr>
      <w:tr w:rsidR="00FD0449" w:rsidRPr="00A651DE" w14:paraId="525370D2" w14:textId="77777777" w:rsidTr="00896363">
        <w:tc>
          <w:tcPr>
            <w:tcW w:w="1384" w:type="dxa"/>
          </w:tcPr>
          <w:p w14:paraId="7281093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5–10</w:t>
            </w:r>
          </w:p>
        </w:tc>
        <w:tc>
          <w:tcPr>
            <w:tcW w:w="3686" w:type="dxa"/>
          </w:tcPr>
          <w:p w14:paraId="5B4CB15E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Disconnected Strategy</w:t>
            </w:r>
          </w:p>
        </w:tc>
        <w:tc>
          <w:tcPr>
            <w:tcW w:w="3570" w:type="dxa"/>
          </w:tcPr>
          <w:p w14:paraId="283D4A2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The vision exists on paper but not in execution. Translate goals into tangible actions.</w:t>
            </w:r>
          </w:p>
        </w:tc>
      </w:tr>
      <w:tr w:rsidR="00FD0449" w:rsidRPr="00A651DE" w14:paraId="0E1B36C4" w14:textId="77777777" w:rsidTr="00896363">
        <w:tc>
          <w:tcPr>
            <w:tcW w:w="1384" w:type="dxa"/>
          </w:tcPr>
          <w:p w14:paraId="661C054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11–15</w:t>
            </w:r>
          </w:p>
        </w:tc>
        <w:tc>
          <w:tcPr>
            <w:tcW w:w="3686" w:type="dxa"/>
          </w:tcPr>
          <w:p w14:paraId="5C03383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Aligned in Theory</w:t>
            </w:r>
          </w:p>
        </w:tc>
        <w:tc>
          <w:tcPr>
            <w:tcW w:w="3570" w:type="dxa"/>
          </w:tcPr>
          <w:p w14:paraId="0290F53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Strategy is clear but inconsistently applied. Strengthen communication channels.</w:t>
            </w:r>
          </w:p>
        </w:tc>
      </w:tr>
      <w:tr w:rsidR="00FD0449" w:rsidRPr="00A651DE" w14:paraId="4767E451" w14:textId="77777777" w:rsidTr="00896363">
        <w:tc>
          <w:tcPr>
            <w:tcW w:w="1384" w:type="dxa"/>
          </w:tcPr>
          <w:p w14:paraId="4510A82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16–20</w:t>
            </w:r>
          </w:p>
        </w:tc>
        <w:tc>
          <w:tcPr>
            <w:tcW w:w="3686" w:type="dxa"/>
          </w:tcPr>
          <w:p w14:paraId="2B0F3AA1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Strategically Integrated</w:t>
            </w:r>
          </w:p>
        </w:tc>
        <w:tc>
          <w:tcPr>
            <w:tcW w:w="3570" w:type="dxa"/>
          </w:tcPr>
          <w:p w14:paraId="02490C4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Direction and action align; fine-tune metrics and decision rights.</w:t>
            </w:r>
          </w:p>
        </w:tc>
      </w:tr>
      <w:tr w:rsidR="00FD0449" w:rsidRPr="00A651DE" w14:paraId="4B32880A" w14:textId="77777777" w:rsidTr="00896363">
        <w:tc>
          <w:tcPr>
            <w:tcW w:w="1384" w:type="dxa"/>
          </w:tcPr>
          <w:p w14:paraId="77AED4F0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21–25</w:t>
            </w:r>
          </w:p>
        </w:tc>
        <w:tc>
          <w:tcPr>
            <w:tcW w:w="3686" w:type="dxa"/>
          </w:tcPr>
          <w:p w14:paraId="092BE00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Future-Ready Leadership</w:t>
            </w:r>
          </w:p>
        </w:tc>
        <w:tc>
          <w:tcPr>
            <w:tcW w:w="3570" w:type="dxa"/>
          </w:tcPr>
          <w:p w14:paraId="733ECC5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Strategy drives every choice with adaptability and clarity.</w:t>
            </w:r>
          </w:p>
        </w:tc>
      </w:tr>
    </w:tbl>
    <w:p w14:paraId="6C99BE79" w14:textId="067E823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Action Steps / From the Book</w:t>
      </w:r>
    </w:p>
    <w:p w14:paraId="612D15CD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Revisit Chapter 2: Strategic Alignment for insights on foresight and adaptability.</w:t>
      </w:r>
    </w:p>
    <w:p w14:paraId="19AA3E67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Audit communication flow—can every team link their objectives to strategy?</w:t>
      </w:r>
    </w:p>
    <w:p w14:paraId="3DBE1E81" w14:textId="2E228993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Hold quarterly strategy-to-execution reviews.</w:t>
      </w:r>
    </w:p>
    <w:p w14:paraId="41A51A2C" w14:textId="77777777" w:rsidR="00FD0449" w:rsidRPr="00A651DE" w:rsidRDefault="00000000">
      <w:pPr>
        <w:pStyle w:val="Heading2"/>
        <w:rPr>
          <w:rFonts w:ascii="Aptos" w:hAnsi="Aptos"/>
        </w:rPr>
      </w:pPr>
      <w:r w:rsidRPr="00A651DE">
        <w:rPr>
          <w:rFonts w:ascii="Aptos" w:hAnsi="Aptos"/>
        </w:rPr>
        <w:lastRenderedPageBreak/>
        <w:t>Section 3: The Art of Negotiation</w:t>
      </w:r>
    </w:p>
    <w:p w14:paraId="75E9E59E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Negotiation isn’t a single moment—it’s a disciplined process of preparation and value creation. When treated as a repeatable system, negotiation protects value and builds lasting trust.</w:t>
      </w:r>
    </w:p>
    <w:p w14:paraId="291AE439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Rate each statement from 1 (Rarely true) to 5 (Consistently true). Record your score in the right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371"/>
        <w:gridCol w:w="2876"/>
      </w:tblGrid>
      <w:tr w:rsidR="00FD0449" w:rsidRPr="00A651DE" w14:paraId="06CBB982" w14:textId="77777777" w:rsidTr="00896363">
        <w:tc>
          <w:tcPr>
            <w:tcW w:w="1384" w:type="dxa"/>
          </w:tcPr>
          <w:p w14:paraId="07B2221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#</w:t>
            </w:r>
          </w:p>
        </w:tc>
        <w:tc>
          <w:tcPr>
            <w:tcW w:w="4376" w:type="dxa"/>
          </w:tcPr>
          <w:p w14:paraId="57D1CB5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Statement</w:t>
            </w:r>
          </w:p>
        </w:tc>
        <w:tc>
          <w:tcPr>
            <w:tcW w:w="2880" w:type="dxa"/>
          </w:tcPr>
          <w:p w14:paraId="2672379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Your Score (1–5)</w:t>
            </w:r>
          </w:p>
        </w:tc>
      </w:tr>
      <w:tr w:rsidR="00FD0449" w:rsidRPr="00A651DE" w14:paraId="5C2E9E9D" w14:textId="77777777" w:rsidTr="00896363">
        <w:tc>
          <w:tcPr>
            <w:tcW w:w="1384" w:type="dxa"/>
          </w:tcPr>
          <w:p w14:paraId="176F4FD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</w:t>
            </w:r>
          </w:p>
        </w:tc>
        <w:tc>
          <w:tcPr>
            <w:tcW w:w="4376" w:type="dxa"/>
          </w:tcPr>
          <w:p w14:paraId="2456DF2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Negotiations begin with clear objectives, data, and defined walk-away points.</w:t>
            </w:r>
          </w:p>
        </w:tc>
        <w:tc>
          <w:tcPr>
            <w:tcW w:w="2880" w:type="dxa"/>
          </w:tcPr>
          <w:p w14:paraId="33BC5C53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286999F1" w14:textId="77777777" w:rsidTr="00896363">
        <w:tc>
          <w:tcPr>
            <w:tcW w:w="1384" w:type="dxa"/>
          </w:tcPr>
          <w:p w14:paraId="0387CB4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</w:t>
            </w:r>
          </w:p>
        </w:tc>
        <w:tc>
          <w:tcPr>
            <w:tcW w:w="4376" w:type="dxa"/>
          </w:tcPr>
          <w:p w14:paraId="0B8EE96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Preparation includes understanding the counterpart’s motivations and constraints.</w:t>
            </w:r>
          </w:p>
        </w:tc>
        <w:tc>
          <w:tcPr>
            <w:tcW w:w="2880" w:type="dxa"/>
          </w:tcPr>
          <w:p w14:paraId="049D7A4D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2712581E" w14:textId="77777777" w:rsidTr="00896363">
        <w:tc>
          <w:tcPr>
            <w:tcW w:w="1384" w:type="dxa"/>
          </w:tcPr>
          <w:p w14:paraId="76436E57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3</w:t>
            </w:r>
          </w:p>
        </w:tc>
        <w:tc>
          <w:tcPr>
            <w:tcW w:w="4376" w:type="dxa"/>
          </w:tcPr>
          <w:p w14:paraId="13ECFDD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Outcomes balance value, risk, and long-term relationship health.</w:t>
            </w:r>
          </w:p>
        </w:tc>
        <w:tc>
          <w:tcPr>
            <w:tcW w:w="2880" w:type="dxa"/>
          </w:tcPr>
          <w:p w14:paraId="05D3BD50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50A5F25A" w14:textId="77777777" w:rsidTr="00896363">
        <w:tc>
          <w:tcPr>
            <w:tcW w:w="1384" w:type="dxa"/>
          </w:tcPr>
          <w:p w14:paraId="05CB374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4</w:t>
            </w:r>
          </w:p>
        </w:tc>
        <w:tc>
          <w:tcPr>
            <w:tcW w:w="4376" w:type="dxa"/>
          </w:tcPr>
          <w:p w14:paraId="6013E04D" w14:textId="53F6580E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 xml:space="preserve">Lessons from past negotiations are captured and </w:t>
            </w:r>
            <w:r w:rsidR="00CA3174">
              <w:rPr>
                <w:rFonts w:ascii="Aptos" w:hAnsi="Aptos"/>
              </w:rPr>
              <w:t>revisited</w:t>
            </w:r>
            <w:r w:rsidRPr="00A651DE">
              <w:rPr>
                <w:rFonts w:ascii="Aptos" w:hAnsi="Aptos"/>
              </w:rPr>
              <w:t>.</w:t>
            </w:r>
          </w:p>
        </w:tc>
        <w:tc>
          <w:tcPr>
            <w:tcW w:w="2880" w:type="dxa"/>
          </w:tcPr>
          <w:p w14:paraId="7590D771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0436760F" w14:textId="77777777" w:rsidTr="00896363">
        <w:tc>
          <w:tcPr>
            <w:tcW w:w="1384" w:type="dxa"/>
          </w:tcPr>
          <w:p w14:paraId="094F3A8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</w:t>
            </w:r>
          </w:p>
        </w:tc>
        <w:tc>
          <w:tcPr>
            <w:tcW w:w="4376" w:type="dxa"/>
          </w:tcPr>
          <w:p w14:paraId="3F85A3C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Negotiation is treated as a strategic capability, not an ad-hoc skill.</w:t>
            </w:r>
          </w:p>
        </w:tc>
        <w:tc>
          <w:tcPr>
            <w:tcW w:w="2880" w:type="dxa"/>
          </w:tcPr>
          <w:p w14:paraId="04E94631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</w:tbl>
    <w:p w14:paraId="385BD007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Your Total (sum of your five scores): ______ / 25</w:t>
      </w:r>
    </w:p>
    <w:p w14:paraId="35486753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Interpret Your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3682"/>
        <w:gridCol w:w="3566"/>
      </w:tblGrid>
      <w:tr w:rsidR="00FD0449" w:rsidRPr="00A651DE" w14:paraId="4115498A" w14:textId="77777777" w:rsidTr="00896363">
        <w:tc>
          <w:tcPr>
            <w:tcW w:w="1384" w:type="dxa"/>
          </w:tcPr>
          <w:p w14:paraId="35B09945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Total Score</w:t>
            </w:r>
          </w:p>
        </w:tc>
        <w:tc>
          <w:tcPr>
            <w:tcW w:w="3686" w:type="dxa"/>
          </w:tcPr>
          <w:p w14:paraId="52F4B5C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Level</w:t>
            </w:r>
          </w:p>
        </w:tc>
        <w:tc>
          <w:tcPr>
            <w:tcW w:w="3570" w:type="dxa"/>
          </w:tcPr>
          <w:p w14:paraId="10EF22C3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What It Means</w:t>
            </w:r>
          </w:p>
        </w:tc>
      </w:tr>
      <w:tr w:rsidR="00FD0449" w:rsidRPr="00A651DE" w14:paraId="416C718A" w14:textId="77777777" w:rsidTr="00896363">
        <w:tc>
          <w:tcPr>
            <w:tcW w:w="1384" w:type="dxa"/>
          </w:tcPr>
          <w:p w14:paraId="2AA1DE53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5–10</w:t>
            </w:r>
          </w:p>
        </w:tc>
        <w:tc>
          <w:tcPr>
            <w:tcW w:w="3686" w:type="dxa"/>
          </w:tcPr>
          <w:p w14:paraId="1EDAD5F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Transactional Negotiation</w:t>
            </w:r>
          </w:p>
        </w:tc>
        <w:tc>
          <w:tcPr>
            <w:tcW w:w="3570" w:type="dxa"/>
          </w:tcPr>
          <w:p w14:paraId="4C5058D3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Deals rely on instinct or urgency. Start with structured preparation.</w:t>
            </w:r>
          </w:p>
        </w:tc>
      </w:tr>
      <w:tr w:rsidR="00FD0449" w:rsidRPr="00A651DE" w14:paraId="26AD7E9A" w14:textId="77777777" w:rsidTr="00896363">
        <w:tc>
          <w:tcPr>
            <w:tcW w:w="1384" w:type="dxa"/>
          </w:tcPr>
          <w:p w14:paraId="784CA1A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11–15</w:t>
            </w:r>
          </w:p>
        </w:tc>
        <w:tc>
          <w:tcPr>
            <w:tcW w:w="3686" w:type="dxa"/>
          </w:tcPr>
          <w:p w14:paraId="2EE1B04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Inconsistent Practice</w:t>
            </w:r>
          </w:p>
        </w:tc>
        <w:tc>
          <w:tcPr>
            <w:tcW w:w="3570" w:type="dxa"/>
          </w:tcPr>
          <w:p w14:paraId="233440F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Some negotiations are strategic, others reactive. Build templates and routines.</w:t>
            </w:r>
          </w:p>
        </w:tc>
      </w:tr>
      <w:tr w:rsidR="00FD0449" w:rsidRPr="00A651DE" w14:paraId="0D70A7BF" w14:textId="77777777" w:rsidTr="00896363">
        <w:tc>
          <w:tcPr>
            <w:tcW w:w="1384" w:type="dxa"/>
          </w:tcPr>
          <w:p w14:paraId="68DEB43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16–20</w:t>
            </w:r>
          </w:p>
        </w:tc>
        <w:tc>
          <w:tcPr>
            <w:tcW w:w="3686" w:type="dxa"/>
          </w:tcPr>
          <w:p w14:paraId="42B536E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Disciplined Negotiator</w:t>
            </w:r>
          </w:p>
        </w:tc>
        <w:tc>
          <w:tcPr>
            <w:tcW w:w="3570" w:type="dxa"/>
          </w:tcPr>
          <w:p w14:paraId="3D089609" w14:textId="50991B8F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Negotiations are balanced and data-driven. Share knowledge internally</w:t>
            </w:r>
            <w:r w:rsidR="00CA3174">
              <w:rPr>
                <w:rFonts w:ascii="Aptos" w:hAnsi="Aptos"/>
              </w:rPr>
              <w:t xml:space="preserve"> and cross functionally</w:t>
            </w:r>
            <w:r w:rsidRPr="00A651DE">
              <w:rPr>
                <w:rFonts w:ascii="Aptos" w:hAnsi="Aptos"/>
              </w:rPr>
              <w:t>.</w:t>
            </w:r>
          </w:p>
        </w:tc>
      </w:tr>
      <w:tr w:rsidR="00FD0449" w:rsidRPr="00A651DE" w14:paraId="058E0183" w14:textId="77777777" w:rsidTr="00896363">
        <w:tc>
          <w:tcPr>
            <w:tcW w:w="1384" w:type="dxa"/>
          </w:tcPr>
          <w:p w14:paraId="35E00103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21–25</w:t>
            </w:r>
          </w:p>
        </w:tc>
        <w:tc>
          <w:tcPr>
            <w:tcW w:w="3686" w:type="dxa"/>
          </w:tcPr>
          <w:p w14:paraId="6D93938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Strategic Value Creator</w:t>
            </w:r>
          </w:p>
        </w:tc>
        <w:tc>
          <w:tcPr>
            <w:tcW w:w="3570" w:type="dxa"/>
          </w:tcPr>
          <w:p w14:paraId="518F67C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 negotiate with structure and empathy—creating enduring outcomes.</w:t>
            </w:r>
          </w:p>
        </w:tc>
      </w:tr>
    </w:tbl>
    <w:p w14:paraId="33DCB07E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Action Steps / From the Book</w:t>
      </w:r>
    </w:p>
    <w:p w14:paraId="346BAA91" w14:textId="6034950E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Revisit Chapter 3: The Art of Negotiation and</w:t>
      </w:r>
      <w:r w:rsidR="00CA3174">
        <w:rPr>
          <w:rFonts w:ascii="Aptos" w:hAnsi="Aptos"/>
        </w:rPr>
        <w:t xml:space="preserve"> Chapter 4: T</w:t>
      </w:r>
      <w:r w:rsidRPr="00A651DE">
        <w:rPr>
          <w:rFonts w:ascii="Aptos" w:hAnsi="Aptos"/>
        </w:rPr>
        <w:t>he Negotiation Playbook.</w:t>
      </w:r>
    </w:p>
    <w:p w14:paraId="217B3985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Define non-negotiables and align them across departments.</w:t>
      </w:r>
    </w:p>
    <w:p w14:paraId="0F5A69AD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Track negotiation results—value saved, risk reduced, relationships maintained.</w:t>
      </w:r>
    </w:p>
    <w:p w14:paraId="1A94DAD5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br w:type="page"/>
      </w:r>
    </w:p>
    <w:p w14:paraId="5B9BCDB5" w14:textId="77777777" w:rsidR="00FD0449" w:rsidRPr="00A651DE" w:rsidRDefault="00000000">
      <w:pPr>
        <w:pStyle w:val="Heading2"/>
        <w:rPr>
          <w:rFonts w:ascii="Aptos" w:hAnsi="Aptos"/>
        </w:rPr>
      </w:pPr>
      <w:r w:rsidRPr="00A651DE">
        <w:rPr>
          <w:rFonts w:ascii="Aptos" w:hAnsi="Aptos"/>
        </w:rPr>
        <w:lastRenderedPageBreak/>
        <w:t>Section 4: Partnerships &amp; Alliances</w:t>
      </w:r>
    </w:p>
    <w:p w14:paraId="032F78AB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Strong partnerships are built on structure, trust, and mutual accountability. When governance and incentives align, collaboration becomes a force multiplier.</w:t>
      </w:r>
    </w:p>
    <w:p w14:paraId="4F34D86A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Rate each statement from 1 (Rarely true) to 5 (Consistently true). Record your score in the right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371"/>
        <w:gridCol w:w="2876"/>
      </w:tblGrid>
      <w:tr w:rsidR="00FD0449" w:rsidRPr="00A651DE" w14:paraId="4A8CD394" w14:textId="77777777" w:rsidTr="00896363">
        <w:tc>
          <w:tcPr>
            <w:tcW w:w="1384" w:type="dxa"/>
          </w:tcPr>
          <w:p w14:paraId="395F3F5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#</w:t>
            </w:r>
          </w:p>
        </w:tc>
        <w:tc>
          <w:tcPr>
            <w:tcW w:w="4376" w:type="dxa"/>
          </w:tcPr>
          <w:p w14:paraId="160EB000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Statement</w:t>
            </w:r>
          </w:p>
        </w:tc>
        <w:tc>
          <w:tcPr>
            <w:tcW w:w="2880" w:type="dxa"/>
          </w:tcPr>
          <w:p w14:paraId="4C82A1F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Your Score (1–5)</w:t>
            </w:r>
          </w:p>
        </w:tc>
      </w:tr>
      <w:tr w:rsidR="00FD0449" w:rsidRPr="00A651DE" w14:paraId="187A2F3C" w14:textId="77777777" w:rsidTr="00896363">
        <w:tc>
          <w:tcPr>
            <w:tcW w:w="1384" w:type="dxa"/>
          </w:tcPr>
          <w:p w14:paraId="141D998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</w:t>
            </w:r>
          </w:p>
        </w:tc>
        <w:tc>
          <w:tcPr>
            <w:tcW w:w="4376" w:type="dxa"/>
          </w:tcPr>
          <w:p w14:paraId="4E96DC5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Partnership goals and decision rights are clearly documented and understood.</w:t>
            </w:r>
          </w:p>
        </w:tc>
        <w:tc>
          <w:tcPr>
            <w:tcW w:w="2880" w:type="dxa"/>
          </w:tcPr>
          <w:p w14:paraId="0C905785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21BD57A4" w14:textId="77777777" w:rsidTr="00896363">
        <w:tc>
          <w:tcPr>
            <w:tcW w:w="1384" w:type="dxa"/>
          </w:tcPr>
          <w:p w14:paraId="2272C0D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</w:t>
            </w:r>
          </w:p>
        </w:tc>
        <w:tc>
          <w:tcPr>
            <w:tcW w:w="4376" w:type="dxa"/>
          </w:tcPr>
          <w:p w14:paraId="275C490D" w14:textId="6A5FF786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 xml:space="preserve">Incentives and risks are shared fairly </w:t>
            </w:r>
            <w:r w:rsidR="00CA3174">
              <w:rPr>
                <w:rFonts w:ascii="Aptos" w:hAnsi="Aptos"/>
              </w:rPr>
              <w:t xml:space="preserve">and consistently </w:t>
            </w:r>
            <w:r w:rsidRPr="00A651DE">
              <w:rPr>
                <w:rFonts w:ascii="Aptos" w:hAnsi="Aptos"/>
              </w:rPr>
              <w:t>across all parties.</w:t>
            </w:r>
          </w:p>
        </w:tc>
        <w:tc>
          <w:tcPr>
            <w:tcW w:w="2880" w:type="dxa"/>
          </w:tcPr>
          <w:p w14:paraId="1A6B4EDE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741ACEAF" w14:textId="77777777" w:rsidTr="00896363">
        <w:tc>
          <w:tcPr>
            <w:tcW w:w="1384" w:type="dxa"/>
          </w:tcPr>
          <w:p w14:paraId="77D802D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3</w:t>
            </w:r>
          </w:p>
        </w:tc>
        <w:tc>
          <w:tcPr>
            <w:tcW w:w="4376" w:type="dxa"/>
          </w:tcPr>
          <w:p w14:paraId="34F30C1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Regular communication and governance meetings maintain alignment.</w:t>
            </w:r>
          </w:p>
        </w:tc>
        <w:tc>
          <w:tcPr>
            <w:tcW w:w="2880" w:type="dxa"/>
          </w:tcPr>
          <w:p w14:paraId="6B248BF9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7418F151" w14:textId="77777777" w:rsidTr="00896363">
        <w:tc>
          <w:tcPr>
            <w:tcW w:w="1384" w:type="dxa"/>
          </w:tcPr>
          <w:p w14:paraId="4377F9E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4</w:t>
            </w:r>
          </w:p>
        </w:tc>
        <w:tc>
          <w:tcPr>
            <w:tcW w:w="4376" w:type="dxa"/>
          </w:tcPr>
          <w:p w14:paraId="6CBABCC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Partner performance is tracked with agreed-upon metrics.</w:t>
            </w:r>
          </w:p>
        </w:tc>
        <w:tc>
          <w:tcPr>
            <w:tcW w:w="2880" w:type="dxa"/>
          </w:tcPr>
          <w:p w14:paraId="52E9F2EB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792CC6BA" w14:textId="77777777" w:rsidTr="00896363">
        <w:tc>
          <w:tcPr>
            <w:tcW w:w="1384" w:type="dxa"/>
          </w:tcPr>
          <w:p w14:paraId="7BEEA95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</w:t>
            </w:r>
          </w:p>
        </w:tc>
        <w:tc>
          <w:tcPr>
            <w:tcW w:w="4376" w:type="dxa"/>
          </w:tcPr>
          <w:p w14:paraId="0DE40ED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Partnerships are reviewed periodically to evolve or exit as needed.</w:t>
            </w:r>
          </w:p>
        </w:tc>
        <w:tc>
          <w:tcPr>
            <w:tcW w:w="2880" w:type="dxa"/>
          </w:tcPr>
          <w:p w14:paraId="011AB8B6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</w:tbl>
    <w:p w14:paraId="45D0B8A5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Your Total (sum of your five scores): ______ / 25</w:t>
      </w:r>
    </w:p>
    <w:p w14:paraId="734866AF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Interpret Your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3682"/>
        <w:gridCol w:w="3566"/>
      </w:tblGrid>
      <w:tr w:rsidR="00FD0449" w:rsidRPr="00A651DE" w14:paraId="18A563AC" w14:textId="77777777" w:rsidTr="00896363">
        <w:tc>
          <w:tcPr>
            <w:tcW w:w="1384" w:type="dxa"/>
          </w:tcPr>
          <w:p w14:paraId="3B98321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Total Score</w:t>
            </w:r>
          </w:p>
        </w:tc>
        <w:tc>
          <w:tcPr>
            <w:tcW w:w="3686" w:type="dxa"/>
          </w:tcPr>
          <w:p w14:paraId="58C7B47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Level</w:t>
            </w:r>
          </w:p>
        </w:tc>
        <w:tc>
          <w:tcPr>
            <w:tcW w:w="3570" w:type="dxa"/>
          </w:tcPr>
          <w:p w14:paraId="00640877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What It Means</w:t>
            </w:r>
          </w:p>
        </w:tc>
      </w:tr>
      <w:tr w:rsidR="00FD0449" w:rsidRPr="00A651DE" w14:paraId="52411982" w14:textId="77777777" w:rsidTr="00896363">
        <w:tc>
          <w:tcPr>
            <w:tcW w:w="1384" w:type="dxa"/>
          </w:tcPr>
          <w:p w14:paraId="3249AA2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5–10</w:t>
            </w:r>
          </w:p>
        </w:tc>
        <w:tc>
          <w:tcPr>
            <w:tcW w:w="3686" w:type="dxa"/>
          </w:tcPr>
          <w:p w14:paraId="4F122DAE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Loose Collaborations</w:t>
            </w:r>
          </w:p>
        </w:tc>
        <w:tc>
          <w:tcPr>
            <w:tcW w:w="3570" w:type="dxa"/>
          </w:tcPr>
          <w:p w14:paraId="076F41E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Partnerships rely on goodwill, not systems. Start defining objectives and roles.</w:t>
            </w:r>
          </w:p>
        </w:tc>
      </w:tr>
      <w:tr w:rsidR="00FD0449" w:rsidRPr="00A651DE" w14:paraId="52AEFB2F" w14:textId="77777777" w:rsidTr="00896363">
        <w:tc>
          <w:tcPr>
            <w:tcW w:w="1384" w:type="dxa"/>
          </w:tcPr>
          <w:p w14:paraId="267C661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11–15</w:t>
            </w:r>
          </w:p>
        </w:tc>
        <w:tc>
          <w:tcPr>
            <w:tcW w:w="3686" w:type="dxa"/>
          </w:tcPr>
          <w:p w14:paraId="0D6586B5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Functional but Fragile</w:t>
            </w:r>
          </w:p>
        </w:tc>
        <w:tc>
          <w:tcPr>
            <w:tcW w:w="3570" w:type="dxa"/>
          </w:tcPr>
          <w:p w14:paraId="0AED7505" w14:textId="457FBC38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 xml:space="preserve">Cooperation exists but lacks clear </w:t>
            </w:r>
            <w:r w:rsidR="00CA3174">
              <w:rPr>
                <w:rFonts w:ascii="Aptos" w:hAnsi="Aptos"/>
              </w:rPr>
              <w:t>systems and processes</w:t>
            </w:r>
            <w:r w:rsidRPr="00A651DE">
              <w:rPr>
                <w:rFonts w:ascii="Aptos" w:hAnsi="Aptos"/>
              </w:rPr>
              <w:t>. Improve visibility and incentives.</w:t>
            </w:r>
          </w:p>
        </w:tc>
      </w:tr>
      <w:tr w:rsidR="00FD0449" w:rsidRPr="00A651DE" w14:paraId="1E2152E1" w14:textId="77777777" w:rsidTr="00896363">
        <w:tc>
          <w:tcPr>
            <w:tcW w:w="1384" w:type="dxa"/>
          </w:tcPr>
          <w:p w14:paraId="1DE7270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16–20</w:t>
            </w:r>
          </w:p>
        </w:tc>
        <w:tc>
          <w:tcPr>
            <w:tcW w:w="3686" w:type="dxa"/>
          </w:tcPr>
          <w:p w14:paraId="47D0C8B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Structured Alliances</w:t>
            </w:r>
          </w:p>
        </w:tc>
        <w:tc>
          <w:tcPr>
            <w:tcW w:w="3570" w:type="dxa"/>
          </w:tcPr>
          <w:p w14:paraId="2FB06BB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Roles and rewards are balanced; refine transparency and reviews.</w:t>
            </w:r>
          </w:p>
        </w:tc>
      </w:tr>
      <w:tr w:rsidR="00FD0449" w:rsidRPr="00A651DE" w14:paraId="50AA24DD" w14:textId="77777777" w:rsidTr="00896363">
        <w:tc>
          <w:tcPr>
            <w:tcW w:w="1384" w:type="dxa"/>
          </w:tcPr>
          <w:p w14:paraId="7F753DD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21–25</w:t>
            </w:r>
          </w:p>
        </w:tc>
        <w:tc>
          <w:tcPr>
            <w:tcW w:w="3686" w:type="dxa"/>
          </w:tcPr>
          <w:p w14:paraId="4FD1E1C7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Strategic Partnerships</w:t>
            </w:r>
          </w:p>
        </w:tc>
        <w:tc>
          <w:tcPr>
            <w:tcW w:w="3570" w:type="dxa"/>
          </w:tcPr>
          <w:p w14:paraId="41CF818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Partnerships extend reach and innovation with measurable value.</w:t>
            </w:r>
          </w:p>
        </w:tc>
      </w:tr>
    </w:tbl>
    <w:p w14:paraId="2A550AED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Action Steps / From the Book</w:t>
      </w:r>
    </w:p>
    <w:p w14:paraId="1B90FB5E" w14:textId="310A57C9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 xml:space="preserve">• Revisit Chapter </w:t>
      </w:r>
      <w:r w:rsidR="00CA3174">
        <w:rPr>
          <w:rFonts w:ascii="Aptos" w:hAnsi="Aptos"/>
        </w:rPr>
        <w:t>5</w:t>
      </w:r>
      <w:r w:rsidRPr="00A651DE">
        <w:rPr>
          <w:rFonts w:ascii="Aptos" w:hAnsi="Aptos"/>
        </w:rPr>
        <w:t>: Partnerships &amp; Alliances for frameworks on shared accountability.</w:t>
      </w:r>
    </w:p>
    <w:p w14:paraId="240813C0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Map partnerships and identify gaps in clarity or incentive alignment.</w:t>
      </w:r>
    </w:p>
    <w:p w14:paraId="64EA74FB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Use a simple partner scorecard for financial and operational metrics.</w:t>
      </w:r>
    </w:p>
    <w:p w14:paraId="11969EEC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br w:type="page"/>
      </w:r>
    </w:p>
    <w:p w14:paraId="5A5B8020" w14:textId="77777777" w:rsidR="00FD0449" w:rsidRPr="00A651DE" w:rsidRDefault="00000000">
      <w:pPr>
        <w:pStyle w:val="Heading2"/>
        <w:rPr>
          <w:rFonts w:ascii="Aptos" w:hAnsi="Aptos"/>
        </w:rPr>
      </w:pPr>
      <w:r w:rsidRPr="00A651DE">
        <w:rPr>
          <w:rFonts w:ascii="Aptos" w:hAnsi="Aptos"/>
        </w:rPr>
        <w:lastRenderedPageBreak/>
        <w:t>Section 5: Metrics &amp; Measurement</w:t>
      </w:r>
    </w:p>
    <w:p w14:paraId="034F34E7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What gets measured gets managed—but only if it’s the right thing. Effective metrics focus on outcomes, not optics, turning data into actionable insight.</w:t>
      </w:r>
    </w:p>
    <w:p w14:paraId="10AD3D44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Rate each statement from 1 (Rarely true) to 5 (Consistently true). Record your score in the right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371"/>
        <w:gridCol w:w="2876"/>
      </w:tblGrid>
      <w:tr w:rsidR="00FD0449" w:rsidRPr="00A651DE" w14:paraId="3BC1DB55" w14:textId="77777777" w:rsidTr="00896363">
        <w:tc>
          <w:tcPr>
            <w:tcW w:w="1384" w:type="dxa"/>
          </w:tcPr>
          <w:p w14:paraId="611407C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#</w:t>
            </w:r>
          </w:p>
        </w:tc>
        <w:tc>
          <w:tcPr>
            <w:tcW w:w="4376" w:type="dxa"/>
          </w:tcPr>
          <w:p w14:paraId="587B8FB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Statement</w:t>
            </w:r>
          </w:p>
        </w:tc>
        <w:tc>
          <w:tcPr>
            <w:tcW w:w="2880" w:type="dxa"/>
          </w:tcPr>
          <w:p w14:paraId="17448C2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Your Score (1–5)</w:t>
            </w:r>
          </w:p>
        </w:tc>
      </w:tr>
      <w:tr w:rsidR="00FD0449" w:rsidRPr="00A651DE" w14:paraId="035CED04" w14:textId="77777777" w:rsidTr="00896363">
        <w:tc>
          <w:tcPr>
            <w:tcW w:w="1384" w:type="dxa"/>
          </w:tcPr>
          <w:p w14:paraId="2D71237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</w:t>
            </w:r>
          </w:p>
        </w:tc>
        <w:tc>
          <w:tcPr>
            <w:tcW w:w="4376" w:type="dxa"/>
          </w:tcPr>
          <w:p w14:paraId="686A6FA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Key metrics link directly to organizational goals and value creation.</w:t>
            </w:r>
          </w:p>
        </w:tc>
        <w:tc>
          <w:tcPr>
            <w:tcW w:w="2880" w:type="dxa"/>
          </w:tcPr>
          <w:p w14:paraId="564A81A8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3ADFB3ED" w14:textId="77777777" w:rsidTr="00896363">
        <w:tc>
          <w:tcPr>
            <w:tcW w:w="1384" w:type="dxa"/>
          </w:tcPr>
          <w:p w14:paraId="1EFD63E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</w:t>
            </w:r>
          </w:p>
        </w:tc>
        <w:tc>
          <w:tcPr>
            <w:tcW w:w="4376" w:type="dxa"/>
          </w:tcPr>
          <w:p w14:paraId="79EE909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Teams understand how their metrics contribute to success.</w:t>
            </w:r>
          </w:p>
        </w:tc>
        <w:tc>
          <w:tcPr>
            <w:tcW w:w="2880" w:type="dxa"/>
          </w:tcPr>
          <w:p w14:paraId="502F1FB1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4EC86DBE" w14:textId="77777777" w:rsidTr="00896363">
        <w:tc>
          <w:tcPr>
            <w:tcW w:w="1384" w:type="dxa"/>
          </w:tcPr>
          <w:p w14:paraId="330650C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3</w:t>
            </w:r>
          </w:p>
        </w:tc>
        <w:tc>
          <w:tcPr>
            <w:tcW w:w="4376" w:type="dxa"/>
          </w:tcPr>
          <w:p w14:paraId="1455DFA7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Dashboards highlight insights and actions, not vanity statistics.</w:t>
            </w:r>
          </w:p>
        </w:tc>
        <w:tc>
          <w:tcPr>
            <w:tcW w:w="2880" w:type="dxa"/>
          </w:tcPr>
          <w:p w14:paraId="3D71B8B9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0B26B0A7" w14:textId="77777777" w:rsidTr="00896363">
        <w:tc>
          <w:tcPr>
            <w:tcW w:w="1384" w:type="dxa"/>
          </w:tcPr>
          <w:p w14:paraId="7A26F85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4</w:t>
            </w:r>
          </w:p>
        </w:tc>
        <w:tc>
          <w:tcPr>
            <w:tcW w:w="4376" w:type="dxa"/>
          </w:tcPr>
          <w:p w14:paraId="4413595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Metrics evolve as business priorities change.</w:t>
            </w:r>
          </w:p>
        </w:tc>
        <w:tc>
          <w:tcPr>
            <w:tcW w:w="2880" w:type="dxa"/>
          </w:tcPr>
          <w:p w14:paraId="3557FA36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750ACA99" w14:textId="77777777" w:rsidTr="00896363">
        <w:tc>
          <w:tcPr>
            <w:tcW w:w="1384" w:type="dxa"/>
          </w:tcPr>
          <w:p w14:paraId="6653B1A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</w:t>
            </w:r>
          </w:p>
        </w:tc>
        <w:tc>
          <w:tcPr>
            <w:tcW w:w="4376" w:type="dxa"/>
          </w:tcPr>
          <w:p w14:paraId="33D2922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Data quality and accountability are well-governed across teams.</w:t>
            </w:r>
          </w:p>
        </w:tc>
        <w:tc>
          <w:tcPr>
            <w:tcW w:w="2880" w:type="dxa"/>
          </w:tcPr>
          <w:p w14:paraId="303ED1FE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</w:tbl>
    <w:p w14:paraId="3A0B3ACE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Your Total (sum of your five scores): ______ / 25</w:t>
      </w:r>
    </w:p>
    <w:p w14:paraId="5BDBC7FA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Interpret Your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3540"/>
        <w:gridCol w:w="3708"/>
      </w:tblGrid>
      <w:tr w:rsidR="00FD0449" w:rsidRPr="00A651DE" w14:paraId="02D217A8" w14:textId="77777777" w:rsidTr="00896363">
        <w:tc>
          <w:tcPr>
            <w:tcW w:w="1384" w:type="dxa"/>
          </w:tcPr>
          <w:p w14:paraId="1993A52E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Total Score</w:t>
            </w:r>
          </w:p>
        </w:tc>
        <w:tc>
          <w:tcPr>
            <w:tcW w:w="3544" w:type="dxa"/>
          </w:tcPr>
          <w:p w14:paraId="503483A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Level</w:t>
            </w:r>
          </w:p>
        </w:tc>
        <w:tc>
          <w:tcPr>
            <w:tcW w:w="3712" w:type="dxa"/>
          </w:tcPr>
          <w:p w14:paraId="09AB11A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What It Means</w:t>
            </w:r>
          </w:p>
        </w:tc>
      </w:tr>
      <w:tr w:rsidR="00FD0449" w:rsidRPr="00A651DE" w14:paraId="3D4B1D3F" w14:textId="77777777" w:rsidTr="00896363">
        <w:tc>
          <w:tcPr>
            <w:tcW w:w="1384" w:type="dxa"/>
          </w:tcPr>
          <w:p w14:paraId="7ACDA6A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5–10</w:t>
            </w:r>
          </w:p>
        </w:tc>
        <w:tc>
          <w:tcPr>
            <w:tcW w:w="3544" w:type="dxa"/>
          </w:tcPr>
          <w:p w14:paraId="3E801895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Data Without Direction</w:t>
            </w:r>
          </w:p>
        </w:tc>
        <w:tc>
          <w:tcPr>
            <w:tcW w:w="3712" w:type="dxa"/>
          </w:tcPr>
          <w:p w14:paraId="533BEEF5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 collect data but lack insight. Define decisions your metrics support.</w:t>
            </w:r>
          </w:p>
        </w:tc>
      </w:tr>
      <w:tr w:rsidR="00FD0449" w:rsidRPr="00A651DE" w14:paraId="1F315873" w14:textId="77777777" w:rsidTr="00896363">
        <w:tc>
          <w:tcPr>
            <w:tcW w:w="1384" w:type="dxa"/>
          </w:tcPr>
          <w:p w14:paraId="05ADD77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11–15</w:t>
            </w:r>
          </w:p>
        </w:tc>
        <w:tc>
          <w:tcPr>
            <w:tcW w:w="3544" w:type="dxa"/>
          </w:tcPr>
          <w:p w14:paraId="793011C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Metrics in Motion</w:t>
            </w:r>
          </w:p>
        </w:tc>
        <w:tc>
          <w:tcPr>
            <w:tcW w:w="3712" w:type="dxa"/>
          </w:tcPr>
          <w:p w14:paraId="4426CA7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Some useful data exists, but ownership and consistency vary.</w:t>
            </w:r>
          </w:p>
        </w:tc>
      </w:tr>
      <w:tr w:rsidR="00FD0449" w:rsidRPr="00A651DE" w14:paraId="4C398F30" w14:textId="77777777" w:rsidTr="00896363">
        <w:tc>
          <w:tcPr>
            <w:tcW w:w="1384" w:type="dxa"/>
          </w:tcPr>
          <w:p w14:paraId="431AEFD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16–20</w:t>
            </w:r>
          </w:p>
        </w:tc>
        <w:tc>
          <w:tcPr>
            <w:tcW w:w="3544" w:type="dxa"/>
          </w:tcPr>
          <w:p w14:paraId="7B710B6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Performance-Focused</w:t>
            </w:r>
          </w:p>
        </w:tc>
        <w:tc>
          <w:tcPr>
            <w:tcW w:w="3712" w:type="dxa"/>
          </w:tcPr>
          <w:p w14:paraId="3ACFAD5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Measurement drives accountability and learning.</w:t>
            </w:r>
          </w:p>
        </w:tc>
      </w:tr>
      <w:tr w:rsidR="00FD0449" w:rsidRPr="00A651DE" w14:paraId="6A0CE2E4" w14:textId="77777777" w:rsidTr="00896363">
        <w:tc>
          <w:tcPr>
            <w:tcW w:w="1384" w:type="dxa"/>
          </w:tcPr>
          <w:p w14:paraId="57370133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21–25</w:t>
            </w:r>
          </w:p>
        </w:tc>
        <w:tc>
          <w:tcPr>
            <w:tcW w:w="3544" w:type="dxa"/>
          </w:tcPr>
          <w:p w14:paraId="7435D66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Insight-Driven Organization</w:t>
            </w:r>
          </w:p>
        </w:tc>
        <w:tc>
          <w:tcPr>
            <w:tcW w:w="3712" w:type="dxa"/>
          </w:tcPr>
          <w:p w14:paraId="506FBF5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Metrics align perfectly with strategy and improvement cycles.</w:t>
            </w:r>
          </w:p>
        </w:tc>
      </w:tr>
    </w:tbl>
    <w:p w14:paraId="0B69470F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Action Steps / From the Book</w:t>
      </w:r>
    </w:p>
    <w:p w14:paraId="60D7B216" w14:textId="3E72E58E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 xml:space="preserve">• Revisit Chapter </w:t>
      </w:r>
      <w:r w:rsidR="00CA3174">
        <w:rPr>
          <w:rFonts w:ascii="Aptos" w:hAnsi="Aptos"/>
        </w:rPr>
        <w:t>6</w:t>
      </w:r>
      <w:r w:rsidRPr="00A651DE">
        <w:rPr>
          <w:rFonts w:ascii="Aptos" w:hAnsi="Aptos"/>
        </w:rPr>
        <w:t>: Metrics &amp; Measurement for guidance on meaningful indicators.</w:t>
      </w:r>
    </w:p>
    <w:p w14:paraId="4DD7D334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Audit reports—eliminate vanity metrics and focus on drivers of value.</w:t>
      </w:r>
    </w:p>
    <w:p w14:paraId="64029931" w14:textId="18B7EE76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Assign owners for each key metric to ensure accountability.</w:t>
      </w:r>
    </w:p>
    <w:p w14:paraId="7B104FA7" w14:textId="77777777" w:rsidR="00896363" w:rsidRPr="00A651DE" w:rsidRDefault="00896363">
      <w:pPr>
        <w:rPr>
          <w:rFonts w:ascii="Aptos" w:eastAsiaTheme="majorEastAsia" w:hAnsi="Aptos" w:cstheme="majorBidi"/>
          <w:b/>
          <w:bCs/>
          <w:color w:val="4F81BD" w:themeColor="accent1"/>
          <w:sz w:val="26"/>
          <w:szCs w:val="26"/>
        </w:rPr>
      </w:pPr>
      <w:r w:rsidRPr="00A651DE">
        <w:rPr>
          <w:rFonts w:ascii="Aptos" w:hAnsi="Aptos"/>
        </w:rPr>
        <w:br w:type="page"/>
      </w:r>
    </w:p>
    <w:p w14:paraId="52BBCC09" w14:textId="1ECEB55C" w:rsidR="00FD0449" w:rsidRPr="00A651DE" w:rsidRDefault="00000000">
      <w:pPr>
        <w:pStyle w:val="Heading2"/>
        <w:rPr>
          <w:rFonts w:ascii="Aptos" w:hAnsi="Aptos"/>
        </w:rPr>
      </w:pPr>
      <w:r w:rsidRPr="00A651DE">
        <w:rPr>
          <w:rFonts w:ascii="Aptos" w:hAnsi="Aptos"/>
        </w:rPr>
        <w:lastRenderedPageBreak/>
        <w:t>Section 6: Inflation &amp; Economics</w:t>
      </w:r>
    </w:p>
    <w:p w14:paraId="098F49F1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Economic pressure exposes the strength of your value chain. Understanding costs, contracts, and market signals turns volatility into foresight.</w:t>
      </w:r>
    </w:p>
    <w:p w14:paraId="59145FC4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Rate each statement from 1 (Rarely true) to 5 (Consistently true). Record your score in the right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4371"/>
        <w:gridCol w:w="2877"/>
      </w:tblGrid>
      <w:tr w:rsidR="00FD0449" w:rsidRPr="00A651DE" w14:paraId="529B9941" w14:textId="77777777" w:rsidTr="00896363">
        <w:tc>
          <w:tcPr>
            <w:tcW w:w="1384" w:type="dxa"/>
          </w:tcPr>
          <w:p w14:paraId="7DAACB6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#</w:t>
            </w:r>
          </w:p>
        </w:tc>
        <w:tc>
          <w:tcPr>
            <w:tcW w:w="4376" w:type="dxa"/>
          </w:tcPr>
          <w:p w14:paraId="1C4A092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Statement</w:t>
            </w:r>
          </w:p>
        </w:tc>
        <w:tc>
          <w:tcPr>
            <w:tcW w:w="2880" w:type="dxa"/>
          </w:tcPr>
          <w:p w14:paraId="5F4E1C2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Your Score (1–5)</w:t>
            </w:r>
          </w:p>
        </w:tc>
      </w:tr>
      <w:tr w:rsidR="00FD0449" w:rsidRPr="00A651DE" w14:paraId="3C27F7EE" w14:textId="77777777" w:rsidTr="00896363">
        <w:tc>
          <w:tcPr>
            <w:tcW w:w="1384" w:type="dxa"/>
          </w:tcPr>
          <w:p w14:paraId="63CB2D0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</w:t>
            </w:r>
          </w:p>
        </w:tc>
        <w:tc>
          <w:tcPr>
            <w:tcW w:w="4376" w:type="dxa"/>
          </w:tcPr>
          <w:p w14:paraId="048AE16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The organization understands key cost drivers and market sensitivities.</w:t>
            </w:r>
          </w:p>
        </w:tc>
        <w:tc>
          <w:tcPr>
            <w:tcW w:w="2880" w:type="dxa"/>
          </w:tcPr>
          <w:p w14:paraId="5EF6C672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5F309720" w14:textId="77777777" w:rsidTr="00896363">
        <w:tc>
          <w:tcPr>
            <w:tcW w:w="1384" w:type="dxa"/>
          </w:tcPr>
          <w:p w14:paraId="645F2A3E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</w:t>
            </w:r>
          </w:p>
        </w:tc>
        <w:tc>
          <w:tcPr>
            <w:tcW w:w="4376" w:type="dxa"/>
          </w:tcPr>
          <w:p w14:paraId="31E482F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Financial planning models account for inflation and interest-rate scenarios.</w:t>
            </w:r>
          </w:p>
        </w:tc>
        <w:tc>
          <w:tcPr>
            <w:tcW w:w="2880" w:type="dxa"/>
          </w:tcPr>
          <w:p w14:paraId="2681DE0E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11945255" w14:textId="77777777" w:rsidTr="00896363">
        <w:tc>
          <w:tcPr>
            <w:tcW w:w="1384" w:type="dxa"/>
          </w:tcPr>
          <w:p w14:paraId="662290D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3</w:t>
            </w:r>
          </w:p>
        </w:tc>
        <w:tc>
          <w:tcPr>
            <w:tcW w:w="4376" w:type="dxa"/>
          </w:tcPr>
          <w:p w14:paraId="571CAA9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Contracts include clauses to manage volatility (e.g., escalation, hedging).</w:t>
            </w:r>
          </w:p>
        </w:tc>
        <w:tc>
          <w:tcPr>
            <w:tcW w:w="2880" w:type="dxa"/>
          </w:tcPr>
          <w:p w14:paraId="01C8DB5E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1FC371C4" w14:textId="77777777" w:rsidTr="00896363">
        <w:tc>
          <w:tcPr>
            <w:tcW w:w="1384" w:type="dxa"/>
          </w:tcPr>
          <w:p w14:paraId="02274EA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4</w:t>
            </w:r>
          </w:p>
        </w:tc>
        <w:tc>
          <w:tcPr>
            <w:tcW w:w="4376" w:type="dxa"/>
          </w:tcPr>
          <w:p w14:paraId="39019AB0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Leaders review economic indicators and adjust forecasts accordingly.</w:t>
            </w:r>
          </w:p>
        </w:tc>
        <w:tc>
          <w:tcPr>
            <w:tcW w:w="2880" w:type="dxa"/>
          </w:tcPr>
          <w:p w14:paraId="0D981DFF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6506CFBB" w14:textId="77777777" w:rsidTr="00896363">
        <w:tc>
          <w:tcPr>
            <w:tcW w:w="1384" w:type="dxa"/>
          </w:tcPr>
          <w:p w14:paraId="27F0338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</w:t>
            </w:r>
          </w:p>
        </w:tc>
        <w:tc>
          <w:tcPr>
            <w:tcW w:w="4376" w:type="dxa"/>
          </w:tcPr>
          <w:p w14:paraId="44F5E59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Cost management decisions balance short-term savings with long-term positioning.</w:t>
            </w:r>
          </w:p>
        </w:tc>
        <w:tc>
          <w:tcPr>
            <w:tcW w:w="2880" w:type="dxa"/>
          </w:tcPr>
          <w:p w14:paraId="28767F85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</w:tbl>
    <w:p w14:paraId="515C1E89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Your Total (sum of your five scores): ______ / 25</w:t>
      </w:r>
    </w:p>
    <w:p w14:paraId="560C534C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Interpret Your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3540"/>
        <w:gridCol w:w="3707"/>
      </w:tblGrid>
      <w:tr w:rsidR="00FD0449" w:rsidRPr="00A651DE" w14:paraId="3CADC69F" w14:textId="77777777" w:rsidTr="00896363">
        <w:tc>
          <w:tcPr>
            <w:tcW w:w="1384" w:type="dxa"/>
          </w:tcPr>
          <w:p w14:paraId="31E4692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Total Score</w:t>
            </w:r>
          </w:p>
        </w:tc>
        <w:tc>
          <w:tcPr>
            <w:tcW w:w="3544" w:type="dxa"/>
          </w:tcPr>
          <w:p w14:paraId="22A3794E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Level</w:t>
            </w:r>
          </w:p>
        </w:tc>
        <w:tc>
          <w:tcPr>
            <w:tcW w:w="3712" w:type="dxa"/>
          </w:tcPr>
          <w:p w14:paraId="74716147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What It Means</w:t>
            </w:r>
          </w:p>
        </w:tc>
      </w:tr>
      <w:tr w:rsidR="00FD0449" w:rsidRPr="00A651DE" w14:paraId="21116791" w14:textId="77777777" w:rsidTr="00896363">
        <w:tc>
          <w:tcPr>
            <w:tcW w:w="1384" w:type="dxa"/>
          </w:tcPr>
          <w:p w14:paraId="5CB91CC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5–10</w:t>
            </w:r>
          </w:p>
        </w:tc>
        <w:tc>
          <w:tcPr>
            <w:tcW w:w="3544" w:type="dxa"/>
          </w:tcPr>
          <w:p w14:paraId="4491CE8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Reactive to Market Forces</w:t>
            </w:r>
          </w:p>
        </w:tc>
        <w:tc>
          <w:tcPr>
            <w:tcW w:w="3712" w:type="dxa"/>
          </w:tcPr>
          <w:p w14:paraId="28AD729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Inflation drives you. Start tracking key costs and indicators.</w:t>
            </w:r>
          </w:p>
        </w:tc>
      </w:tr>
      <w:tr w:rsidR="00FD0449" w:rsidRPr="00A651DE" w14:paraId="34F6AFCC" w14:textId="77777777" w:rsidTr="00896363">
        <w:tc>
          <w:tcPr>
            <w:tcW w:w="1384" w:type="dxa"/>
          </w:tcPr>
          <w:p w14:paraId="33BEEA50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11–15</w:t>
            </w:r>
          </w:p>
        </w:tc>
        <w:tc>
          <w:tcPr>
            <w:tcW w:w="3544" w:type="dxa"/>
          </w:tcPr>
          <w:p w14:paraId="3E2FC13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Operational Awareness</w:t>
            </w:r>
          </w:p>
        </w:tc>
        <w:tc>
          <w:tcPr>
            <w:tcW w:w="3712" w:type="dxa"/>
          </w:tcPr>
          <w:p w14:paraId="49149075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 track costs but lack integrated planning. Build forecasting discipline.</w:t>
            </w:r>
          </w:p>
        </w:tc>
      </w:tr>
      <w:tr w:rsidR="00FD0449" w:rsidRPr="00A651DE" w14:paraId="752395DD" w14:textId="77777777" w:rsidTr="00896363">
        <w:tc>
          <w:tcPr>
            <w:tcW w:w="1384" w:type="dxa"/>
          </w:tcPr>
          <w:p w14:paraId="76C2F00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16–20</w:t>
            </w:r>
          </w:p>
        </w:tc>
        <w:tc>
          <w:tcPr>
            <w:tcW w:w="3544" w:type="dxa"/>
          </w:tcPr>
          <w:p w14:paraId="2F7F7BB0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Financially Agile</w:t>
            </w:r>
          </w:p>
        </w:tc>
        <w:tc>
          <w:tcPr>
            <w:tcW w:w="3712" w:type="dxa"/>
          </w:tcPr>
          <w:p w14:paraId="48B8D080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 adapt well to shifts. Refine resilience and cross-functional visibility.</w:t>
            </w:r>
          </w:p>
        </w:tc>
      </w:tr>
      <w:tr w:rsidR="00FD0449" w:rsidRPr="00A651DE" w14:paraId="069C3550" w14:textId="77777777" w:rsidTr="00896363">
        <w:tc>
          <w:tcPr>
            <w:tcW w:w="1384" w:type="dxa"/>
          </w:tcPr>
          <w:p w14:paraId="7139378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21–25</w:t>
            </w:r>
          </w:p>
        </w:tc>
        <w:tc>
          <w:tcPr>
            <w:tcW w:w="3544" w:type="dxa"/>
          </w:tcPr>
          <w:p w14:paraId="3B14BDDE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Economically Strategic</w:t>
            </w:r>
          </w:p>
        </w:tc>
        <w:tc>
          <w:tcPr>
            <w:tcW w:w="3712" w:type="dxa"/>
          </w:tcPr>
          <w:p w14:paraId="25C4B68E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Volatility is managed proactively. You lead through uncertainty.</w:t>
            </w:r>
          </w:p>
        </w:tc>
      </w:tr>
    </w:tbl>
    <w:p w14:paraId="31B5FBBB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Action Steps / From the Book</w:t>
      </w:r>
    </w:p>
    <w:p w14:paraId="2D86FB38" w14:textId="3D56D54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 xml:space="preserve">• Revisit Chapter </w:t>
      </w:r>
      <w:r w:rsidR="00CA3174">
        <w:rPr>
          <w:rFonts w:ascii="Aptos" w:hAnsi="Aptos"/>
        </w:rPr>
        <w:t>7</w:t>
      </w:r>
      <w:r w:rsidRPr="00A651DE">
        <w:rPr>
          <w:rFonts w:ascii="Aptos" w:hAnsi="Aptos"/>
        </w:rPr>
        <w:t>: Inflation &amp; Economics for frameworks on cost resilience.</w:t>
      </w:r>
    </w:p>
    <w:p w14:paraId="2E60555B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Map your top cost drivers and model 5–10% swings.</w:t>
      </w:r>
    </w:p>
    <w:p w14:paraId="40B75EDF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Include economic scenario reviews in leadership meetings.</w:t>
      </w:r>
    </w:p>
    <w:p w14:paraId="55BF708B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br w:type="page"/>
      </w:r>
    </w:p>
    <w:p w14:paraId="2C4D750A" w14:textId="77777777" w:rsidR="00FD0449" w:rsidRPr="00A651DE" w:rsidRDefault="00000000">
      <w:pPr>
        <w:pStyle w:val="Heading2"/>
        <w:rPr>
          <w:rFonts w:ascii="Aptos" w:hAnsi="Aptos"/>
        </w:rPr>
      </w:pPr>
      <w:r w:rsidRPr="00A651DE">
        <w:rPr>
          <w:rFonts w:ascii="Aptos" w:hAnsi="Aptos"/>
        </w:rPr>
        <w:lastRenderedPageBreak/>
        <w:t>Section 7: Global Impacts</w:t>
      </w:r>
    </w:p>
    <w:p w14:paraId="328FD3BB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Global shifts—trade, regulation, environment—shape local performance. Understanding and anticipating them builds lasting advantage.</w:t>
      </w:r>
    </w:p>
    <w:p w14:paraId="52BA7144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Rate each statement from 1 (Rarely true) to 5 (Consistently true). Record your score in the right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371"/>
        <w:gridCol w:w="2876"/>
      </w:tblGrid>
      <w:tr w:rsidR="00FD0449" w:rsidRPr="00A651DE" w14:paraId="14448D73" w14:textId="77777777" w:rsidTr="00896363">
        <w:tc>
          <w:tcPr>
            <w:tcW w:w="1384" w:type="dxa"/>
          </w:tcPr>
          <w:p w14:paraId="559830B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#</w:t>
            </w:r>
          </w:p>
        </w:tc>
        <w:tc>
          <w:tcPr>
            <w:tcW w:w="4376" w:type="dxa"/>
          </w:tcPr>
          <w:p w14:paraId="4A91D5B7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Statement</w:t>
            </w:r>
          </w:p>
        </w:tc>
        <w:tc>
          <w:tcPr>
            <w:tcW w:w="2880" w:type="dxa"/>
          </w:tcPr>
          <w:p w14:paraId="57C0A34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Your Score (1–5)</w:t>
            </w:r>
          </w:p>
        </w:tc>
      </w:tr>
      <w:tr w:rsidR="00FD0449" w:rsidRPr="00A651DE" w14:paraId="49A07310" w14:textId="77777777" w:rsidTr="00896363">
        <w:tc>
          <w:tcPr>
            <w:tcW w:w="1384" w:type="dxa"/>
          </w:tcPr>
          <w:p w14:paraId="70AA9773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</w:t>
            </w:r>
          </w:p>
        </w:tc>
        <w:tc>
          <w:tcPr>
            <w:tcW w:w="4376" w:type="dxa"/>
          </w:tcPr>
          <w:p w14:paraId="5B810E9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The organization monitors geopolitical and trade developments.</w:t>
            </w:r>
          </w:p>
        </w:tc>
        <w:tc>
          <w:tcPr>
            <w:tcW w:w="2880" w:type="dxa"/>
          </w:tcPr>
          <w:p w14:paraId="01197B6B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49E8B1A3" w14:textId="77777777" w:rsidTr="00896363">
        <w:tc>
          <w:tcPr>
            <w:tcW w:w="1384" w:type="dxa"/>
          </w:tcPr>
          <w:p w14:paraId="2B6B19B0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</w:t>
            </w:r>
          </w:p>
        </w:tc>
        <w:tc>
          <w:tcPr>
            <w:tcW w:w="4376" w:type="dxa"/>
          </w:tcPr>
          <w:p w14:paraId="46C530F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Sourcing strategies include geographic diversity and contingency planning.</w:t>
            </w:r>
          </w:p>
        </w:tc>
        <w:tc>
          <w:tcPr>
            <w:tcW w:w="2880" w:type="dxa"/>
          </w:tcPr>
          <w:p w14:paraId="15F3ED70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0C3C8C14" w14:textId="77777777" w:rsidTr="00896363">
        <w:tc>
          <w:tcPr>
            <w:tcW w:w="1384" w:type="dxa"/>
          </w:tcPr>
          <w:p w14:paraId="7EF38CC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3</w:t>
            </w:r>
          </w:p>
        </w:tc>
        <w:tc>
          <w:tcPr>
            <w:tcW w:w="4376" w:type="dxa"/>
          </w:tcPr>
          <w:p w14:paraId="606CDB4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Leadership integrates global risk analysis into decision-making.</w:t>
            </w:r>
          </w:p>
        </w:tc>
        <w:tc>
          <w:tcPr>
            <w:tcW w:w="2880" w:type="dxa"/>
          </w:tcPr>
          <w:p w14:paraId="4B26028C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0B1161EC" w14:textId="77777777" w:rsidTr="00896363">
        <w:tc>
          <w:tcPr>
            <w:tcW w:w="1384" w:type="dxa"/>
          </w:tcPr>
          <w:p w14:paraId="09D69F3B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4</w:t>
            </w:r>
          </w:p>
        </w:tc>
        <w:tc>
          <w:tcPr>
            <w:tcW w:w="4376" w:type="dxa"/>
          </w:tcPr>
          <w:p w14:paraId="09A7443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Teams understand how global events affect local operations.</w:t>
            </w:r>
          </w:p>
        </w:tc>
        <w:tc>
          <w:tcPr>
            <w:tcW w:w="2880" w:type="dxa"/>
          </w:tcPr>
          <w:p w14:paraId="70F1E5FF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  <w:tr w:rsidR="00FD0449" w:rsidRPr="00A651DE" w14:paraId="2D0F2013" w14:textId="77777777" w:rsidTr="00896363">
        <w:tc>
          <w:tcPr>
            <w:tcW w:w="1384" w:type="dxa"/>
          </w:tcPr>
          <w:p w14:paraId="34E65EF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</w:t>
            </w:r>
          </w:p>
        </w:tc>
        <w:tc>
          <w:tcPr>
            <w:tcW w:w="4376" w:type="dxa"/>
          </w:tcPr>
          <w:p w14:paraId="04D72253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Global awareness is treated as a competitive capability, not a compliance task.</w:t>
            </w:r>
          </w:p>
        </w:tc>
        <w:tc>
          <w:tcPr>
            <w:tcW w:w="2880" w:type="dxa"/>
          </w:tcPr>
          <w:p w14:paraId="4C4C7AC8" w14:textId="77777777" w:rsidR="00FD0449" w:rsidRPr="00A651DE" w:rsidRDefault="00FD0449">
            <w:pPr>
              <w:rPr>
                <w:rFonts w:ascii="Aptos" w:hAnsi="Aptos"/>
              </w:rPr>
            </w:pPr>
          </w:p>
        </w:tc>
      </w:tr>
    </w:tbl>
    <w:p w14:paraId="384E5571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Your Total (sum of your five scores): ______ / 25</w:t>
      </w:r>
    </w:p>
    <w:p w14:paraId="3030900A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Interpret Your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3540"/>
        <w:gridCol w:w="3707"/>
      </w:tblGrid>
      <w:tr w:rsidR="00FD0449" w:rsidRPr="00A651DE" w14:paraId="2C277F89" w14:textId="77777777" w:rsidTr="00896363">
        <w:tc>
          <w:tcPr>
            <w:tcW w:w="1384" w:type="dxa"/>
          </w:tcPr>
          <w:p w14:paraId="5212AE1E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Total Score</w:t>
            </w:r>
          </w:p>
        </w:tc>
        <w:tc>
          <w:tcPr>
            <w:tcW w:w="3544" w:type="dxa"/>
          </w:tcPr>
          <w:p w14:paraId="31AE909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Level</w:t>
            </w:r>
          </w:p>
        </w:tc>
        <w:tc>
          <w:tcPr>
            <w:tcW w:w="3712" w:type="dxa"/>
          </w:tcPr>
          <w:p w14:paraId="10EE971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What It Means</w:t>
            </w:r>
          </w:p>
        </w:tc>
      </w:tr>
      <w:tr w:rsidR="00FD0449" w:rsidRPr="00A651DE" w14:paraId="7E23452F" w14:textId="77777777" w:rsidTr="00896363">
        <w:tc>
          <w:tcPr>
            <w:tcW w:w="1384" w:type="dxa"/>
          </w:tcPr>
          <w:p w14:paraId="536CB8B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5–10</w:t>
            </w:r>
          </w:p>
        </w:tc>
        <w:tc>
          <w:tcPr>
            <w:tcW w:w="3544" w:type="dxa"/>
          </w:tcPr>
          <w:p w14:paraId="0CF7E51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Locally Focused</w:t>
            </w:r>
          </w:p>
        </w:tc>
        <w:tc>
          <w:tcPr>
            <w:tcW w:w="3712" w:type="dxa"/>
          </w:tcPr>
          <w:p w14:paraId="1D1D0A5D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Global events surprise you. Build awareness and monitoring systems.</w:t>
            </w:r>
          </w:p>
        </w:tc>
      </w:tr>
      <w:tr w:rsidR="00FD0449" w:rsidRPr="00A651DE" w14:paraId="458361EB" w14:textId="77777777" w:rsidTr="00896363">
        <w:tc>
          <w:tcPr>
            <w:tcW w:w="1384" w:type="dxa"/>
          </w:tcPr>
          <w:p w14:paraId="2A220D25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11–15</w:t>
            </w:r>
          </w:p>
        </w:tc>
        <w:tc>
          <w:tcPr>
            <w:tcW w:w="3544" w:type="dxa"/>
          </w:tcPr>
          <w:p w14:paraId="775EFBA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Regionally Aware</w:t>
            </w:r>
          </w:p>
        </w:tc>
        <w:tc>
          <w:tcPr>
            <w:tcW w:w="3712" w:type="dxa"/>
          </w:tcPr>
          <w:p w14:paraId="11E97D9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Some global risks recognized; contingency planning limited.</w:t>
            </w:r>
          </w:p>
        </w:tc>
      </w:tr>
      <w:tr w:rsidR="00FD0449" w:rsidRPr="00A651DE" w14:paraId="18ACB5EC" w14:textId="77777777" w:rsidTr="00896363">
        <w:tc>
          <w:tcPr>
            <w:tcW w:w="1384" w:type="dxa"/>
          </w:tcPr>
          <w:p w14:paraId="5C50555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16–20</w:t>
            </w:r>
          </w:p>
        </w:tc>
        <w:tc>
          <w:tcPr>
            <w:tcW w:w="3544" w:type="dxa"/>
          </w:tcPr>
          <w:p w14:paraId="10E6530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Globally Responsive</w:t>
            </w:r>
          </w:p>
        </w:tc>
        <w:tc>
          <w:tcPr>
            <w:tcW w:w="3712" w:type="dxa"/>
          </w:tcPr>
          <w:p w14:paraId="6F0B1EE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 react effectively to emerging risks. Strengthen scenario planning.</w:t>
            </w:r>
          </w:p>
        </w:tc>
      </w:tr>
      <w:tr w:rsidR="00FD0449" w:rsidRPr="00A651DE" w14:paraId="53C6BDBB" w14:textId="77777777" w:rsidTr="00896363">
        <w:tc>
          <w:tcPr>
            <w:tcW w:w="1384" w:type="dxa"/>
          </w:tcPr>
          <w:p w14:paraId="34CBCEE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21–25</w:t>
            </w:r>
          </w:p>
        </w:tc>
        <w:tc>
          <w:tcPr>
            <w:tcW w:w="3544" w:type="dxa"/>
          </w:tcPr>
          <w:p w14:paraId="09CDB8FC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Globally Strategic</w:t>
            </w:r>
          </w:p>
        </w:tc>
        <w:tc>
          <w:tcPr>
            <w:tcW w:w="3712" w:type="dxa"/>
          </w:tcPr>
          <w:p w14:paraId="343E441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 anticipate and capitalize on change. Global insight is your edge.</w:t>
            </w:r>
          </w:p>
        </w:tc>
      </w:tr>
    </w:tbl>
    <w:p w14:paraId="0A69A28D" w14:textId="77777777" w:rsidR="00FD0449" w:rsidRPr="00A651DE" w:rsidRDefault="00000000">
      <w:pPr>
        <w:pStyle w:val="Heading3"/>
        <w:rPr>
          <w:rFonts w:ascii="Aptos" w:hAnsi="Aptos"/>
        </w:rPr>
      </w:pPr>
      <w:r w:rsidRPr="00A651DE">
        <w:rPr>
          <w:rFonts w:ascii="Aptos" w:hAnsi="Aptos"/>
        </w:rPr>
        <w:t>Action Steps / From the Book</w:t>
      </w:r>
    </w:p>
    <w:p w14:paraId="118DB91E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Revisit Chapter 7: Global Impacts for guidance on global resilience.</w:t>
      </w:r>
    </w:p>
    <w:p w14:paraId="050368BA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Map your end-to-end value chain and concentration risks.</w:t>
      </w:r>
    </w:p>
    <w:p w14:paraId="6ED55D37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• Create a quarterly ‘geo scan’ to track trade, logistics, and regulation.</w:t>
      </w:r>
    </w:p>
    <w:p w14:paraId="0A660949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br w:type="page"/>
      </w:r>
    </w:p>
    <w:p w14:paraId="077EE434" w14:textId="77777777" w:rsidR="00FD0449" w:rsidRPr="00A651DE" w:rsidRDefault="00000000">
      <w:pPr>
        <w:pStyle w:val="Heading2"/>
        <w:rPr>
          <w:rFonts w:ascii="Aptos" w:hAnsi="Aptos"/>
        </w:rPr>
      </w:pPr>
      <w:r w:rsidRPr="00A651DE">
        <w:rPr>
          <w:rFonts w:ascii="Aptos" w:hAnsi="Aptos"/>
        </w:rPr>
        <w:lastRenderedPageBreak/>
        <w:t>Your Results: The Value Chain Readiness Index</w:t>
      </w:r>
    </w:p>
    <w:p w14:paraId="2A055896" w14:textId="77777777" w:rsidR="00FD0449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Add up your total points from all seven sections to determine your organization’s Value Chain Readiness level.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6"/>
        <w:gridCol w:w="3115"/>
        <w:gridCol w:w="3849"/>
      </w:tblGrid>
      <w:tr w:rsidR="00FD0449" w:rsidRPr="00A651DE" w14:paraId="03B63312" w14:textId="77777777" w:rsidTr="00896363">
        <w:tc>
          <w:tcPr>
            <w:tcW w:w="1668" w:type="dxa"/>
          </w:tcPr>
          <w:p w14:paraId="2A244716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Total Score</w:t>
            </w:r>
          </w:p>
        </w:tc>
        <w:tc>
          <w:tcPr>
            <w:tcW w:w="3118" w:type="dxa"/>
          </w:tcPr>
          <w:p w14:paraId="4CC7F39A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Level</w:t>
            </w:r>
          </w:p>
        </w:tc>
        <w:tc>
          <w:tcPr>
            <w:tcW w:w="3854" w:type="dxa"/>
          </w:tcPr>
          <w:p w14:paraId="2DD9484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What It Means</w:t>
            </w:r>
          </w:p>
        </w:tc>
      </w:tr>
      <w:tr w:rsidR="00FD0449" w:rsidRPr="00A651DE" w14:paraId="714A3114" w14:textId="77777777" w:rsidTr="00896363">
        <w:tc>
          <w:tcPr>
            <w:tcW w:w="1668" w:type="dxa"/>
          </w:tcPr>
          <w:p w14:paraId="36CA547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70–99</w:t>
            </w:r>
          </w:p>
        </w:tc>
        <w:tc>
          <w:tcPr>
            <w:tcW w:w="3118" w:type="dxa"/>
          </w:tcPr>
          <w:p w14:paraId="0B1672A9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Foundational Awareness</w:t>
            </w:r>
          </w:p>
        </w:tc>
        <w:tc>
          <w:tcPr>
            <w:tcW w:w="3854" w:type="dxa"/>
          </w:tcPr>
          <w:p w14:paraId="77396E52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You’re building structure but still operating in silos.</w:t>
            </w:r>
          </w:p>
        </w:tc>
      </w:tr>
      <w:tr w:rsidR="00FD0449" w:rsidRPr="00A651DE" w14:paraId="13B0BE87" w14:textId="77777777" w:rsidTr="00896363">
        <w:tc>
          <w:tcPr>
            <w:tcW w:w="1668" w:type="dxa"/>
          </w:tcPr>
          <w:p w14:paraId="4649BEAE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100–129</w:t>
            </w:r>
          </w:p>
        </w:tc>
        <w:tc>
          <w:tcPr>
            <w:tcW w:w="3118" w:type="dxa"/>
          </w:tcPr>
          <w:p w14:paraId="1625012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Developing Systems</w:t>
            </w:r>
          </w:p>
        </w:tc>
        <w:tc>
          <w:tcPr>
            <w:tcW w:w="3854" w:type="dxa"/>
          </w:tcPr>
          <w:p w14:paraId="24A97315" w14:textId="24A4AFC8" w:rsidR="00FD0449" w:rsidRPr="00A651DE" w:rsidRDefault="00CA3174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F</w:t>
            </w:r>
            <w:r w:rsidR="00000000" w:rsidRPr="00A651DE">
              <w:rPr>
                <w:rFonts w:ascii="Aptos" w:hAnsi="Aptos"/>
              </w:rPr>
              <w:t>rameworks exist, but</w:t>
            </w:r>
            <w:r>
              <w:rPr>
                <w:rFonts w:ascii="Aptos" w:hAnsi="Aptos"/>
              </w:rPr>
              <w:t xml:space="preserve"> processes, systems and</w:t>
            </w:r>
            <w:r w:rsidR="00000000" w:rsidRPr="00A651DE">
              <w:rPr>
                <w:rFonts w:ascii="Aptos" w:hAnsi="Aptos"/>
              </w:rPr>
              <w:t xml:space="preserve"> execution varies.</w:t>
            </w:r>
          </w:p>
        </w:tc>
      </w:tr>
      <w:tr w:rsidR="00FD0449" w:rsidRPr="00A651DE" w14:paraId="5FEA516C" w14:textId="77777777" w:rsidTr="00896363">
        <w:tc>
          <w:tcPr>
            <w:tcW w:w="1668" w:type="dxa"/>
          </w:tcPr>
          <w:p w14:paraId="7E8A08F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130–154</w:t>
            </w:r>
          </w:p>
        </w:tc>
        <w:tc>
          <w:tcPr>
            <w:tcW w:w="3118" w:type="dxa"/>
          </w:tcPr>
          <w:p w14:paraId="108720AF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Integrated &amp; Resilient</w:t>
            </w:r>
          </w:p>
        </w:tc>
        <w:tc>
          <w:tcPr>
            <w:tcW w:w="3854" w:type="dxa"/>
          </w:tcPr>
          <w:p w14:paraId="2AFDA687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Strategy and operations are connected.</w:t>
            </w:r>
          </w:p>
        </w:tc>
      </w:tr>
      <w:tr w:rsidR="00FD0449" w:rsidRPr="00A651DE" w14:paraId="3153F23C" w14:textId="77777777" w:rsidTr="00896363">
        <w:tc>
          <w:tcPr>
            <w:tcW w:w="1668" w:type="dxa"/>
          </w:tcPr>
          <w:p w14:paraId="3B4287E8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155–175</w:t>
            </w:r>
          </w:p>
        </w:tc>
        <w:tc>
          <w:tcPr>
            <w:tcW w:w="3118" w:type="dxa"/>
          </w:tcPr>
          <w:p w14:paraId="0264A9CC" w14:textId="3FABA067" w:rsidR="00FD0449" w:rsidRPr="00A651DE" w:rsidRDefault="00896363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Best-In-Class Value Chain</w:t>
            </w:r>
          </w:p>
        </w:tc>
        <w:tc>
          <w:tcPr>
            <w:tcW w:w="3854" w:type="dxa"/>
          </w:tcPr>
          <w:p w14:paraId="6AD2BAC4" w14:textId="77777777" w:rsidR="00FD0449" w:rsidRPr="00A651DE" w:rsidRDefault="00000000">
            <w:pPr>
              <w:rPr>
                <w:rFonts w:ascii="Aptos" w:hAnsi="Aptos"/>
              </w:rPr>
            </w:pPr>
            <w:r w:rsidRPr="00A651DE">
              <w:rPr>
                <w:rFonts w:ascii="Aptos" w:hAnsi="Aptos"/>
              </w:rPr>
              <w:t>You operate with discipline, agility, and foresight.</w:t>
            </w:r>
          </w:p>
        </w:tc>
      </w:tr>
    </w:tbl>
    <w:p w14:paraId="4058F0E7" w14:textId="561C3403" w:rsidR="006502ED" w:rsidRPr="00A651DE" w:rsidRDefault="00000000">
      <w:pPr>
        <w:rPr>
          <w:rFonts w:ascii="Aptos" w:hAnsi="Aptos"/>
        </w:rPr>
      </w:pPr>
      <w:r w:rsidRPr="00A651DE">
        <w:rPr>
          <w:rFonts w:ascii="Aptos" w:hAnsi="Aptos"/>
        </w:rPr>
        <w:t>Your score isn’t an endpoint—it’s a benchmark for progress. Use it to identify focus areas, align teams, and revisit the relevant chapters in Global Wealth, Local Impact to strengthen your organization’s value chain maturity.</w:t>
      </w:r>
    </w:p>
    <w:p w14:paraId="46F3E531" w14:textId="77777777" w:rsidR="006502ED" w:rsidRPr="00A651DE" w:rsidRDefault="006502ED">
      <w:pPr>
        <w:rPr>
          <w:rFonts w:ascii="Aptos" w:hAnsi="Aptos"/>
        </w:rPr>
      </w:pPr>
    </w:p>
    <w:p w14:paraId="4FCA6275" w14:textId="77777777" w:rsidR="006502ED" w:rsidRPr="00A651DE" w:rsidRDefault="006502ED" w:rsidP="006502ED">
      <w:pPr>
        <w:pStyle w:val="Heading2"/>
        <w:rPr>
          <w:rFonts w:ascii="Aptos" w:hAnsi="Aptos"/>
        </w:rPr>
      </w:pPr>
      <w:r w:rsidRPr="00A651DE">
        <w:rPr>
          <w:rStyle w:val="Strong"/>
          <w:rFonts w:ascii="Aptos" w:hAnsi="Aptos"/>
          <w:b/>
          <w:bCs/>
        </w:rPr>
        <w:t>Next Step: Strengthen Your Value Chain</w:t>
      </w:r>
    </w:p>
    <w:p w14:paraId="222FEF62" w14:textId="77777777" w:rsidR="006502ED" w:rsidRPr="00A651DE" w:rsidRDefault="006502ED" w:rsidP="006502ED">
      <w:pPr>
        <w:rPr>
          <w:rFonts w:ascii="Aptos" w:hAnsi="Aptos"/>
        </w:rPr>
      </w:pPr>
      <w:r w:rsidRPr="00A651DE">
        <w:rPr>
          <w:rFonts w:ascii="Aptos" w:hAnsi="Aptos"/>
        </w:rPr>
        <w:t>Completing this assessment is the first step toward building a more resilient, high-performing organization. The next step is action.</w:t>
      </w:r>
    </w:p>
    <w:p w14:paraId="23FF4404" w14:textId="77777777" w:rsidR="006502ED" w:rsidRPr="00A651DE" w:rsidRDefault="006502ED" w:rsidP="006502ED">
      <w:pPr>
        <w:rPr>
          <w:rFonts w:ascii="Aptos" w:hAnsi="Aptos"/>
        </w:rPr>
      </w:pPr>
      <w:r w:rsidRPr="00A651DE">
        <w:rPr>
          <w:rFonts w:ascii="Aptos" w:hAnsi="Aptos"/>
        </w:rPr>
        <w:t xml:space="preserve">If you’d like to discuss your results, uncover areas of untapped value, or explore how your organization can enhance performance across its value chain, I offer a </w:t>
      </w:r>
      <w:r w:rsidRPr="00A651DE">
        <w:rPr>
          <w:rFonts w:ascii="Aptos" w:hAnsi="Aptos"/>
          <w:b/>
          <w:bCs/>
        </w:rPr>
        <w:t>complimentary consulting call</w:t>
      </w:r>
      <w:r w:rsidRPr="00A651DE">
        <w:rPr>
          <w:rFonts w:ascii="Aptos" w:hAnsi="Aptos"/>
        </w:rPr>
        <w:t xml:space="preserve"> for teams and leaders.</w:t>
      </w:r>
    </w:p>
    <w:p w14:paraId="12E116E3" w14:textId="77777777" w:rsidR="006502ED" w:rsidRPr="00A651DE" w:rsidRDefault="006502ED" w:rsidP="006502ED">
      <w:pPr>
        <w:rPr>
          <w:rFonts w:ascii="Aptos" w:hAnsi="Aptos"/>
        </w:rPr>
      </w:pPr>
      <w:r w:rsidRPr="00A651DE">
        <w:rPr>
          <w:rFonts w:ascii="Aptos" w:hAnsi="Aptos"/>
        </w:rPr>
        <w:t>Together, we can:</w:t>
      </w:r>
    </w:p>
    <w:p w14:paraId="6037B63D" w14:textId="77777777" w:rsidR="006502ED" w:rsidRPr="00A651DE" w:rsidRDefault="006502ED" w:rsidP="006502ED">
      <w:pPr>
        <w:pStyle w:val="NormalWeb"/>
        <w:numPr>
          <w:ilvl w:val="0"/>
          <w:numId w:val="10"/>
        </w:numPr>
        <w:rPr>
          <w:rFonts w:ascii="Aptos" w:hAnsi="Aptos"/>
          <w:sz w:val="22"/>
          <w:szCs w:val="22"/>
        </w:rPr>
      </w:pPr>
      <w:r w:rsidRPr="00A651DE">
        <w:rPr>
          <w:rFonts w:ascii="Aptos" w:hAnsi="Aptos"/>
          <w:sz w:val="22"/>
          <w:szCs w:val="22"/>
        </w:rPr>
        <w:t>Review your assessment results and identify your organization’s biggest opportunities.</w:t>
      </w:r>
    </w:p>
    <w:p w14:paraId="54572FB4" w14:textId="77777777" w:rsidR="006502ED" w:rsidRPr="00A651DE" w:rsidRDefault="006502ED" w:rsidP="006502ED">
      <w:pPr>
        <w:pStyle w:val="NormalWeb"/>
        <w:numPr>
          <w:ilvl w:val="0"/>
          <w:numId w:val="10"/>
        </w:numPr>
        <w:rPr>
          <w:rFonts w:ascii="Aptos" w:hAnsi="Aptos"/>
          <w:sz w:val="22"/>
          <w:szCs w:val="22"/>
        </w:rPr>
      </w:pPr>
      <w:r w:rsidRPr="00A651DE">
        <w:rPr>
          <w:rFonts w:ascii="Aptos" w:hAnsi="Aptos"/>
          <w:sz w:val="22"/>
          <w:szCs w:val="22"/>
        </w:rPr>
        <w:t>Map short-term wins and long-term improvements tailored to your goals.</w:t>
      </w:r>
    </w:p>
    <w:p w14:paraId="2FCDFBA9" w14:textId="77777777" w:rsidR="006502ED" w:rsidRPr="00A651DE" w:rsidRDefault="006502ED" w:rsidP="006502ED">
      <w:pPr>
        <w:pStyle w:val="NormalWeb"/>
        <w:numPr>
          <w:ilvl w:val="0"/>
          <w:numId w:val="10"/>
        </w:numPr>
        <w:rPr>
          <w:rFonts w:ascii="Aptos" w:hAnsi="Aptos"/>
          <w:sz w:val="22"/>
          <w:szCs w:val="22"/>
        </w:rPr>
      </w:pPr>
      <w:r w:rsidRPr="00A651DE">
        <w:rPr>
          <w:rFonts w:ascii="Aptos" w:hAnsi="Aptos"/>
          <w:sz w:val="22"/>
          <w:szCs w:val="22"/>
        </w:rPr>
        <w:t>Align people, processes, and systems for measurable, lasting impact.</w:t>
      </w:r>
    </w:p>
    <w:p w14:paraId="0C3C521F" w14:textId="77777777" w:rsidR="006502ED" w:rsidRPr="00A651DE" w:rsidRDefault="006502ED" w:rsidP="006502ED">
      <w:pPr>
        <w:pStyle w:val="NormalWeb"/>
        <w:rPr>
          <w:rFonts w:ascii="Aptos" w:hAnsi="Aptos"/>
          <w:sz w:val="22"/>
          <w:szCs w:val="22"/>
        </w:rPr>
      </w:pPr>
      <w:r w:rsidRPr="00A651DE">
        <w:rPr>
          <w:rStyle w:val="Strong"/>
          <w:rFonts w:ascii="Aptos" w:hAnsi="Aptos"/>
          <w:sz w:val="22"/>
          <w:szCs w:val="22"/>
        </w:rPr>
        <w:t>Let’s turn insight into advantage.</w:t>
      </w:r>
    </w:p>
    <w:p w14:paraId="01272CEF" w14:textId="5386B736" w:rsidR="006502ED" w:rsidRPr="00A651DE" w:rsidRDefault="006502ED" w:rsidP="006502ED">
      <w:pPr>
        <w:pStyle w:val="NormalWeb"/>
        <w:rPr>
          <w:rFonts w:ascii="Aptos" w:hAnsi="Aptos"/>
          <w:sz w:val="22"/>
          <w:szCs w:val="22"/>
        </w:rPr>
      </w:pPr>
      <w:r w:rsidRPr="00A651DE">
        <w:rPr>
          <w:rFonts w:ascii="Apple Color Emoji" w:hAnsi="Apple Color Emoji" w:cs="Apple Color Emoji"/>
          <w:sz w:val="22"/>
          <w:szCs w:val="22"/>
        </w:rPr>
        <w:t>📞</w:t>
      </w:r>
      <w:r w:rsidRPr="00A651DE">
        <w:rPr>
          <w:rFonts w:ascii="Aptos" w:hAnsi="Aptos"/>
          <w:sz w:val="22"/>
          <w:szCs w:val="22"/>
        </w:rPr>
        <w:t xml:space="preserve"> </w:t>
      </w:r>
      <w:r w:rsidRPr="00A651DE">
        <w:rPr>
          <w:rStyle w:val="Strong"/>
          <w:rFonts w:ascii="Aptos" w:hAnsi="Aptos"/>
          <w:sz w:val="22"/>
          <w:szCs w:val="22"/>
        </w:rPr>
        <w:t>Book a Free Value Chain Consultation</w:t>
      </w:r>
      <w:r w:rsidRPr="00A651DE">
        <w:rPr>
          <w:rFonts w:ascii="Aptos" w:hAnsi="Aptos"/>
          <w:sz w:val="22"/>
          <w:szCs w:val="22"/>
        </w:rPr>
        <w:br/>
        <w:t xml:space="preserve">Email: </w:t>
      </w:r>
      <w:r w:rsidRPr="00A651DE">
        <w:rPr>
          <w:rStyle w:val="Strong"/>
          <w:rFonts w:ascii="Aptos" w:hAnsi="Aptos"/>
          <w:sz w:val="22"/>
          <w:szCs w:val="22"/>
        </w:rPr>
        <w:t>stephanie@theforbesgroup.ca</w:t>
      </w:r>
      <w:r w:rsidRPr="00A651DE">
        <w:rPr>
          <w:rFonts w:ascii="Aptos" w:hAnsi="Aptos"/>
          <w:sz w:val="22"/>
          <w:szCs w:val="22"/>
        </w:rPr>
        <w:br/>
        <w:t xml:space="preserve">Website: </w:t>
      </w:r>
      <w:r w:rsidRPr="00A651DE">
        <w:rPr>
          <w:rStyle w:val="Strong"/>
          <w:rFonts w:ascii="Aptos" w:hAnsi="Aptos"/>
          <w:sz w:val="22"/>
          <w:szCs w:val="22"/>
        </w:rPr>
        <w:t>www.theforbesgroup.ca</w:t>
      </w:r>
      <w:r w:rsidRPr="00A651DE">
        <w:rPr>
          <w:rFonts w:ascii="Aptos" w:hAnsi="Aptos"/>
          <w:sz w:val="22"/>
          <w:szCs w:val="22"/>
        </w:rPr>
        <w:br/>
        <w:t xml:space="preserve">LinkedIn: </w:t>
      </w:r>
      <w:hyperlink r:id="rId9" w:history="1">
        <w:r w:rsidRPr="00A651DE">
          <w:rPr>
            <w:rStyle w:val="Hyperlink"/>
            <w:rFonts w:ascii="Aptos" w:hAnsi="Aptos"/>
            <w:b/>
            <w:bCs/>
            <w:sz w:val="22"/>
            <w:szCs w:val="22"/>
          </w:rPr>
          <w:t>LinkedIn</w:t>
        </w:r>
      </w:hyperlink>
    </w:p>
    <w:p w14:paraId="0FB03201" w14:textId="77777777" w:rsidR="006502ED" w:rsidRPr="00A651DE" w:rsidRDefault="006502ED">
      <w:pPr>
        <w:rPr>
          <w:rFonts w:ascii="Aptos" w:hAnsi="Aptos"/>
        </w:rPr>
      </w:pPr>
    </w:p>
    <w:sectPr w:rsidR="006502ED" w:rsidRPr="00A651DE" w:rsidSect="00034616">
      <w:headerReference w:type="default" r:id="rId10"/>
      <w:footerReference w:type="even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C1F8B" w14:textId="77777777" w:rsidR="00AD27D1" w:rsidRDefault="00AD27D1" w:rsidP="00031D6B">
      <w:pPr>
        <w:spacing w:after="0" w:line="240" w:lineRule="auto"/>
      </w:pPr>
      <w:r>
        <w:separator/>
      </w:r>
    </w:p>
  </w:endnote>
  <w:endnote w:type="continuationSeparator" w:id="0">
    <w:p w14:paraId="255FAD92" w14:textId="77777777" w:rsidR="00AD27D1" w:rsidRDefault="00AD27D1" w:rsidP="00031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88501739"/>
      <w:docPartObj>
        <w:docPartGallery w:val="Page Numbers (Bottom of Page)"/>
        <w:docPartUnique/>
      </w:docPartObj>
    </w:sdtPr>
    <w:sdtContent>
      <w:p w14:paraId="331492A5" w14:textId="452C2C79" w:rsidR="00896363" w:rsidRDefault="00896363" w:rsidP="00F9165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C89A5FC" w14:textId="77777777" w:rsidR="00896363" w:rsidRDefault="00896363" w:rsidP="008963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73967688"/>
      <w:docPartObj>
        <w:docPartGallery w:val="Page Numbers (Bottom of Page)"/>
        <w:docPartUnique/>
      </w:docPartObj>
    </w:sdtPr>
    <w:sdtContent>
      <w:p w14:paraId="06072D8A" w14:textId="0D557488" w:rsidR="00896363" w:rsidRDefault="00896363" w:rsidP="00F9165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14:paraId="2CB3F70F" w14:textId="6864A413" w:rsidR="00896363" w:rsidRPr="00A651DE" w:rsidRDefault="00896363" w:rsidP="00896363">
    <w:pPr>
      <w:pStyle w:val="Footer"/>
      <w:ind w:right="360"/>
      <w:rPr>
        <w:rFonts w:ascii="Aptos" w:hAnsi="Aptos"/>
        <w:lang w:val="en-CA"/>
      </w:rPr>
    </w:pPr>
    <w:r w:rsidRPr="00A651DE">
      <w:rPr>
        <w:rFonts w:ascii="Aptos" w:hAnsi="Aptos"/>
        <w:lang w:val="en-CA"/>
      </w:rPr>
      <w:t xml:space="preserve">© The Forbes Group Ltd.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0B9EA" w14:textId="77777777" w:rsidR="00AD27D1" w:rsidRDefault="00AD27D1" w:rsidP="00031D6B">
      <w:pPr>
        <w:spacing w:after="0" w:line="240" w:lineRule="auto"/>
      </w:pPr>
      <w:r>
        <w:separator/>
      </w:r>
    </w:p>
  </w:footnote>
  <w:footnote w:type="continuationSeparator" w:id="0">
    <w:p w14:paraId="15005A3A" w14:textId="77777777" w:rsidR="00AD27D1" w:rsidRDefault="00AD27D1" w:rsidP="00031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BA36D" w14:textId="6E96DC7A" w:rsidR="00031D6B" w:rsidRDefault="00031D6B" w:rsidP="00031D6B">
    <w:pPr>
      <w:pStyle w:val="Header"/>
      <w:jc w:val="right"/>
    </w:pPr>
    <w:r>
      <w:rPr>
        <w:noProof/>
        <w:color w:val="000000"/>
      </w:rPr>
      <w:drawing>
        <wp:inline distT="0" distB="0" distL="0" distR="0" wp14:anchorId="2C9535DF" wp14:editId="4303E9C2">
          <wp:extent cx="1388745" cy="1066800"/>
          <wp:effectExtent l="0" t="0" r="0" b="0"/>
          <wp:docPr id="1564154849" name="image1.jpg" descr="A blue and black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blue and black 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9266" cy="106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8768F5"/>
    <w:multiLevelType w:val="multilevel"/>
    <w:tmpl w:val="8084B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4483034">
    <w:abstractNumId w:val="8"/>
  </w:num>
  <w:num w:numId="2" w16cid:durableId="421685906">
    <w:abstractNumId w:val="6"/>
  </w:num>
  <w:num w:numId="3" w16cid:durableId="1142039330">
    <w:abstractNumId w:val="5"/>
  </w:num>
  <w:num w:numId="4" w16cid:durableId="884365992">
    <w:abstractNumId w:val="4"/>
  </w:num>
  <w:num w:numId="5" w16cid:durableId="2141222892">
    <w:abstractNumId w:val="7"/>
  </w:num>
  <w:num w:numId="6" w16cid:durableId="39087323">
    <w:abstractNumId w:val="3"/>
  </w:num>
  <w:num w:numId="7" w16cid:durableId="2132939467">
    <w:abstractNumId w:val="2"/>
  </w:num>
  <w:num w:numId="8" w16cid:durableId="1366297390">
    <w:abstractNumId w:val="1"/>
  </w:num>
  <w:num w:numId="9" w16cid:durableId="477264882">
    <w:abstractNumId w:val="0"/>
  </w:num>
  <w:num w:numId="10" w16cid:durableId="892761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D6B"/>
    <w:rsid w:val="00034616"/>
    <w:rsid w:val="0006063C"/>
    <w:rsid w:val="0015074B"/>
    <w:rsid w:val="0029639D"/>
    <w:rsid w:val="00326F90"/>
    <w:rsid w:val="005E6956"/>
    <w:rsid w:val="00624C85"/>
    <w:rsid w:val="006502ED"/>
    <w:rsid w:val="008646E3"/>
    <w:rsid w:val="00896363"/>
    <w:rsid w:val="00A651DE"/>
    <w:rsid w:val="00AA1D8D"/>
    <w:rsid w:val="00AD27D1"/>
    <w:rsid w:val="00B16B49"/>
    <w:rsid w:val="00B47730"/>
    <w:rsid w:val="00CA3174"/>
    <w:rsid w:val="00CB0664"/>
    <w:rsid w:val="00DE2E04"/>
    <w:rsid w:val="00ED63CC"/>
    <w:rsid w:val="00FC693F"/>
    <w:rsid w:val="00FD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F5AFC7"/>
  <w14:defaultImageDpi w14:val="300"/>
  <w15:docId w15:val="{DFA38742-45F3-8645-81BF-AC5278EA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650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Hyperlink">
    <w:name w:val="Hyperlink"/>
    <w:basedOn w:val="DefaultParagraphFont"/>
    <w:uiPriority w:val="99"/>
    <w:unhideWhenUsed/>
    <w:rsid w:val="006502E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02E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02ED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896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calgaryforbe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1898</Words>
  <Characters>11029</Characters>
  <Application>Microsoft Office Word</Application>
  <DocSecurity>0</DocSecurity>
  <Lines>1102</Lines>
  <Paragraphs>807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12120</CharactersWithSpaces>
  <SharedDoc>false</SharedDoc>
  <HyperlinkBase>theforbesgroup.ca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Forbes </dc:creator>
  <cp:keywords/>
  <dc:description>Value Chain Assessment </dc:description>
  <cp:lastModifiedBy>Stephanie Forbes</cp:lastModifiedBy>
  <cp:revision>2</cp:revision>
  <dcterms:created xsi:type="dcterms:W3CDTF">2025-10-16T21:39:00Z</dcterms:created>
  <dcterms:modified xsi:type="dcterms:W3CDTF">2025-10-16T21:39:00Z</dcterms:modified>
  <cp:category/>
</cp:coreProperties>
</file>